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r>
        <w:rPr>
          <w:rFonts w:hint="eastAsia"/>
        </w:rPr>
        <w:drawing>
          <wp:inline distT="0" distB="0" distL="114300" distR="114300">
            <wp:extent cx="1004570" cy="1000760"/>
            <wp:effectExtent l="0" t="0" r="5080" b="8890"/>
            <wp:docPr id="1" name="图片 1" descr="1646206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6206668(1)"/>
                    <pic:cNvPicPr>
                      <a:picLocks noChangeAspect="1"/>
                    </pic:cNvPicPr>
                  </pic:nvPicPr>
                  <pic:blipFill>
                    <a:blip r:embed="rId4"/>
                    <a:stretch>
                      <a:fillRect/>
                    </a:stretch>
                  </pic:blipFill>
                  <pic:spPr>
                    <a:xfrm>
                      <a:off x="0" y="0"/>
                      <a:ext cx="1004570" cy="1000760"/>
                    </a:xfrm>
                    <a:prstGeom prst="rect">
                      <a:avLst/>
                    </a:prstGeom>
                    <a:noFill/>
                    <a:ln>
                      <a:noFill/>
                    </a:ln>
                  </pic:spPr>
                </pic:pic>
              </a:graphicData>
            </a:graphic>
          </wp:inline>
        </w:drawing>
      </w:r>
      <w:r>
        <w:rPr>
          <w:rFonts w:hint="eastAsia"/>
        </w:rPr>
        <w:t xml:space="preserve">                                 </w:t>
      </w:r>
      <w:r>
        <w:rPr>
          <w:rFonts w:hint="eastAsia"/>
          <w:sz w:val="28"/>
          <w:szCs w:val="28"/>
        </w:rPr>
        <w:t>合同编号：</w:t>
      </w:r>
    </w:p>
    <w:p>
      <w:pPr>
        <w:jc w:val="center"/>
        <w:rPr>
          <w:sz w:val="44"/>
          <w:szCs w:val="44"/>
        </w:rPr>
      </w:pPr>
    </w:p>
    <w:p>
      <w:pPr>
        <w:jc w:val="center"/>
        <w:rPr>
          <w:sz w:val="44"/>
          <w:szCs w:val="44"/>
        </w:rPr>
      </w:pPr>
    </w:p>
    <w:p>
      <w:pPr>
        <w:jc w:val="center"/>
        <w:rPr>
          <w:sz w:val="44"/>
          <w:szCs w:val="44"/>
        </w:rPr>
      </w:pPr>
    </w:p>
    <w:p>
      <w:pPr>
        <w:jc w:val="center"/>
        <w:rPr>
          <w:sz w:val="32"/>
          <w:szCs w:val="32"/>
        </w:rPr>
      </w:pPr>
      <w:r>
        <w:rPr>
          <w:rFonts w:hint="eastAsia"/>
          <w:sz w:val="44"/>
          <w:szCs w:val="44"/>
        </w:rPr>
        <w:t>XXX设备代理进口协议书</w:t>
      </w:r>
    </w:p>
    <w:p>
      <w:pPr>
        <w:rPr>
          <w:sz w:val="32"/>
          <w:szCs w:val="32"/>
        </w:rPr>
      </w:pPr>
    </w:p>
    <w:p>
      <w:pPr>
        <w:rPr>
          <w:sz w:val="32"/>
          <w:szCs w:val="32"/>
        </w:rPr>
      </w:pPr>
    </w:p>
    <w:p>
      <w:pPr>
        <w:rPr>
          <w:sz w:val="28"/>
          <w:szCs w:val="28"/>
        </w:rPr>
      </w:pPr>
      <w:r>
        <w:rPr>
          <w:rFonts w:hint="eastAsia"/>
          <w:sz w:val="28"/>
          <w:szCs w:val="28"/>
        </w:rPr>
        <w:t xml:space="preserve">  甲方：</w:t>
      </w:r>
      <w:r>
        <w:rPr>
          <w:sz w:val="28"/>
          <w:szCs w:val="28"/>
        </w:rPr>
        <w:t>山东大学齐鲁医院</w:t>
      </w:r>
    </w:p>
    <w:p>
      <w:pPr>
        <w:rPr>
          <w:sz w:val="28"/>
          <w:szCs w:val="28"/>
        </w:rPr>
      </w:pPr>
      <w:r>
        <w:rPr>
          <w:rFonts w:hint="eastAsia"/>
          <w:sz w:val="28"/>
          <w:szCs w:val="28"/>
        </w:rPr>
        <w:t xml:space="preserve">  乙方：</w:t>
      </w:r>
    </w:p>
    <w:p>
      <w:pPr>
        <w:rPr>
          <w:sz w:val="28"/>
          <w:szCs w:val="28"/>
        </w:rPr>
      </w:pPr>
      <w:r>
        <w:rPr>
          <w:rFonts w:hint="eastAsia"/>
          <w:sz w:val="28"/>
          <w:szCs w:val="28"/>
        </w:rPr>
        <w:t xml:space="preserve">  </w:t>
      </w:r>
    </w:p>
    <w:p>
      <w:pPr>
        <w:rPr>
          <w:sz w:val="28"/>
          <w:szCs w:val="28"/>
        </w:rPr>
      </w:pPr>
    </w:p>
    <w:p>
      <w:pPr>
        <w:jc w:val="center"/>
        <w:rPr>
          <w:sz w:val="28"/>
          <w:szCs w:val="28"/>
        </w:rPr>
      </w:pPr>
    </w:p>
    <w:p>
      <w:pPr>
        <w:jc w:val="center"/>
        <w:rPr>
          <w:sz w:val="28"/>
          <w:szCs w:val="28"/>
        </w:rPr>
      </w:pPr>
    </w:p>
    <w:p>
      <w:pPr>
        <w:jc w:val="center"/>
        <w:rPr>
          <w:sz w:val="28"/>
          <w:szCs w:val="28"/>
        </w:rPr>
      </w:pPr>
    </w:p>
    <w:p>
      <w:pPr>
        <w:jc w:val="center"/>
        <w:rPr>
          <w:rFonts w:hint="eastAsia"/>
          <w:sz w:val="28"/>
          <w:szCs w:val="28"/>
        </w:rPr>
      </w:pPr>
    </w:p>
    <w:p>
      <w:pPr>
        <w:jc w:val="center"/>
        <w:rPr>
          <w:sz w:val="28"/>
          <w:szCs w:val="28"/>
        </w:rPr>
      </w:pPr>
    </w:p>
    <w:p>
      <w:pPr>
        <w:jc w:val="center"/>
        <w:rPr>
          <w:rFonts w:cs="Calibri"/>
          <w:sz w:val="28"/>
          <w:szCs w:val="28"/>
        </w:rPr>
      </w:pPr>
      <w:r>
        <w:rPr>
          <w:rFonts w:hint="eastAsia"/>
          <w:sz w:val="28"/>
          <w:szCs w:val="28"/>
        </w:rPr>
        <w:t>二零二</w:t>
      </w:r>
      <w:r>
        <w:rPr>
          <w:rFonts w:hint="eastAsia"/>
          <w:sz w:val="28"/>
          <w:szCs w:val="28"/>
          <w:lang w:val="en-US" w:eastAsia="zh-CN"/>
        </w:rPr>
        <w:t>四</w:t>
      </w:r>
      <w:r>
        <w:rPr>
          <w:rFonts w:hint="eastAsia"/>
          <w:sz w:val="28"/>
          <w:szCs w:val="28"/>
        </w:rPr>
        <w:t>年</w:t>
      </w:r>
      <w:r>
        <w:rPr>
          <w:rFonts w:hint="eastAsia" w:ascii="Calibri" w:hAnsi="Calibri" w:cs="Calibri"/>
          <w:sz w:val="28"/>
          <w:szCs w:val="28"/>
        </w:rPr>
        <w:t xml:space="preserve">      </w:t>
      </w:r>
      <w:r>
        <w:rPr>
          <w:rFonts w:hint="eastAsia" w:cs="Calibri"/>
          <w:sz w:val="28"/>
          <w:szCs w:val="28"/>
        </w:rPr>
        <w:t>月     日</w:t>
      </w:r>
    </w:p>
    <w:p>
      <w:pPr>
        <w:jc w:val="center"/>
        <w:rPr>
          <w:rFonts w:cs="Calibri"/>
          <w:sz w:val="28"/>
          <w:szCs w:val="28"/>
        </w:rPr>
      </w:pPr>
      <w:r>
        <w:rPr>
          <w:rFonts w:hint="eastAsia" w:cs="Calibri"/>
          <w:sz w:val="28"/>
          <w:szCs w:val="28"/>
        </w:rPr>
        <w:t>山东大学齐鲁医院</w:t>
      </w:r>
    </w:p>
    <w:p/>
    <w:p>
      <w:pPr>
        <w:jc w:val="center"/>
        <w:rPr>
          <w:rFonts w:eastAsia="黑体"/>
          <w:b/>
          <w:sz w:val="32"/>
          <w:szCs w:val="32"/>
        </w:rPr>
      </w:pPr>
    </w:p>
    <w:p/>
    <w:p>
      <w:pPr>
        <w:spacing w:after="240" w:line="360" w:lineRule="auto"/>
        <w:ind w:firstLine="360" w:firstLineChars="150"/>
        <w:rPr>
          <w:rFonts w:ascii="新宋体" w:hAnsi="新宋体" w:eastAsia="新宋体" w:cs="新宋体"/>
          <w:sz w:val="24"/>
        </w:rPr>
      </w:pPr>
      <w:r>
        <w:rPr>
          <w:rFonts w:hint="eastAsia" w:ascii="新宋体" w:hAnsi="新宋体" w:eastAsia="新宋体" w:cs="新宋体"/>
          <w:sz w:val="24"/>
        </w:rPr>
        <w:t>甲乙双方依据《中华人民共和国民法典》，在平等互利、友好协商的基础上，甲方委托乙方全权办理甲方所需</w:t>
      </w:r>
      <w:r>
        <w:rPr>
          <w:rFonts w:hint="eastAsia" w:ascii="新宋体" w:hAnsi="新宋体" w:eastAsia="新宋体" w:cs="新宋体"/>
          <w:sz w:val="24"/>
          <w:u w:val="single"/>
        </w:rPr>
        <w:t xml:space="preserve">         </w:t>
      </w:r>
      <w:r>
        <w:rPr>
          <w:rFonts w:hint="eastAsia" w:ascii="新宋体" w:hAnsi="新宋体" w:eastAsia="新宋体" w:cs="新宋体"/>
          <w:color w:val="000000"/>
          <w:sz w:val="24"/>
        </w:rPr>
        <w:t>，</w:t>
      </w:r>
      <w:r>
        <w:rPr>
          <w:rFonts w:hint="eastAsia" w:ascii="新宋体" w:hAnsi="新宋体" w:eastAsia="新宋体" w:cs="新宋体"/>
          <w:sz w:val="24"/>
        </w:rPr>
        <w:t>就委托代理进口事宜达成如下协议：</w:t>
      </w:r>
    </w:p>
    <w:p>
      <w:pPr>
        <w:numPr>
          <w:ilvl w:val="0"/>
          <w:numId w:val="1"/>
        </w:numPr>
        <w:tabs>
          <w:tab w:val="left" w:pos="851"/>
          <w:tab w:val="clear" w:pos="1395"/>
        </w:tabs>
        <w:spacing w:after="240" w:line="360" w:lineRule="auto"/>
        <w:ind w:hanging="1395"/>
        <w:rPr>
          <w:rFonts w:ascii="新宋体" w:hAnsi="新宋体" w:eastAsia="新宋体" w:cs="新宋体"/>
          <w:sz w:val="24"/>
        </w:rPr>
      </w:pPr>
      <w:r>
        <w:rPr>
          <w:rFonts w:hint="eastAsia" w:ascii="新宋体" w:hAnsi="新宋体" w:eastAsia="新宋体" w:cs="新宋体"/>
          <w:sz w:val="24"/>
        </w:rPr>
        <w:t>代理进口商品明细见下表，设备配置明细及技术条款，详见外贸合同。</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2188"/>
        <w:gridCol w:w="678"/>
        <w:gridCol w:w="1469"/>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79" w:type="pct"/>
            <w:vAlign w:val="center"/>
          </w:tcPr>
          <w:p>
            <w:pPr>
              <w:jc w:val="center"/>
              <w:rPr>
                <w:rFonts w:ascii="新宋体" w:hAnsi="新宋体" w:eastAsia="新宋体" w:cs="新宋体"/>
                <w:bCs/>
                <w:sz w:val="24"/>
              </w:rPr>
            </w:pPr>
            <w:r>
              <w:rPr>
                <w:rFonts w:hint="eastAsia" w:ascii="新宋体" w:hAnsi="新宋体" w:eastAsia="新宋体" w:cs="新宋体"/>
                <w:bCs/>
                <w:sz w:val="24"/>
              </w:rPr>
              <w:t>货物名称</w:t>
            </w:r>
          </w:p>
        </w:tc>
        <w:tc>
          <w:tcPr>
            <w:tcW w:w="1284" w:type="pct"/>
            <w:vAlign w:val="center"/>
          </w:tcPr>
          <w:p>
            <w:pPr>
              <w:jc w:val="center"/>
              <w:rPr>
                <w:rFonts w:ascii="新宋体" w:hAnsi="新宋体" w:eastAsia="新宋体" w:cs="新宋体"/>
                <w:bCs/>
                <w:sz w:val="24"/>
              </w:rPr>
            </w:pPr>
            <w:r>
              <w:rPr>
                <w:rFonts w:hint="eastAsia" w:ascii="新宋体" w:hAnsi="新宋体" w:eastAsia="新宋体" w:cs="新宋体"/>
                <w:bCs/>
                <w:sz w:val="24"/>
              </w:rPr>
              <w:t>规格型号</w:t>
            </w:r>
          </w:p>
        </w:tc>
        <w:tc>
          <w:tcPr>
            <w:tcW w:w="398" w:type="pct"/>
            <w:vAlign w:val="center"/>
          </w:tcPr>
          <w:p>
            <w:pPr>
              <w:jc w:val="center"/>
              <w:rPr>
                <w:rFonts w:ascii="新宋体" w:hAnsi="新宋体" w:eastAsia="新宋体" w:cs="新宋体"/>
                <w:bCs/>
                <w:sz w:val="24"/>
              </w:rPr>
            </w:pPr>
            <w:r>
              <w:rPr>
                <w:rFonts w:hint="eastAsia" w:ascii="新宋体" w:hAnsi="新宋体" w:eastAsia="新宋体" w:cs="新宋体"/>
                <w:bCs/>
                <w:sz w:val="24"/>
              </w:rPr>
              <w:t>数量</w:t>
            </w:r>
          </w:p>
        </w:tc>
        <w:tc>
          <w:tcPr>
            <w:tcW w:w="862" w:type="pct"/>
            <w:vAlign w:val="center"/>
          </w:tcPr>
          <w:p>
            <w:pPr>
              <w:ind w:firstLine="120" w:firstLineChars="50"/>
              <w:jc w:val="center"/>
              <w:rPr>
                <w:rFonts w:ascii="新宋体" w:hAnsi="新宋体" w:eastAsia="新宋体" w:cs="新宋体"/>
                <w:bCs/>
                <w:sz w:val="24"/>
              </w:rPr>
            </w:pPr>
            <w:r>
              <w:rPr>
                <w:rFonts w:hint="eastAsia" w:ascii="新宋体" w:hAnsi="新宋体" w:eastAsia="新宋体" w:cs="新宋体"/>
                <w:bCs/>
                <w:sz w:val="24"/>
              </w:rPr>
              <w:t>单价（USD ）</w:t>
            </w:r>
          </w:p>
        </w:tc>
        <w:tc>
          <w:tcPr>
            <w:tcW w:w="874" w:type="pct"/>
            <w:vAlign w:val="center"/>
          </w:tcPr>
          <w:p>
            <w:pPr>
              <w:ind w:firstLine="120" w:firstLineChars="50"/>
              <w:jc w:val="center"/>
              <w:rPr>
                <w:rFonts w:ascii="新宋体" w:hAnsi="新宋体" w:eastAsia="新宋体" w:cs="新宋体"/>
                <w:bCs/>
                <w:sz w:val="24"/>
              </w:rPr>
            </w:pPr>
            <w:r>
              <w:rPr>
                <w:rFonts w:hint="eastAsia" w:ascii="新宋体" w:hAnsi="新宋体" w:eastAsia="新宋体" w:cs="新宋体"/>
                <w:bCs/>
                <w:sz w:val="24"/>
              </w:rPr>
              <w:t>总价（USD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79" w:type="pct"/>
            <w:vAlign w:val="center"/>
          </w:tcPr>
          <w:p>
            <w:pPr>
              <w:jc w:val="center"/>
              <w:rPr>
                <w:rFonts w:ascii="新宋体" w:hAnsi="新宋体" w:eastAsia="新宋体" w:cs="新宋体"/>
                <w:bCs/>
                <w:color w:val="FF0000"/>
                <w:sz w:val="24"/>
              </w:rPr>
            </w:pPr>
            <w:r>
              <w:rPr>
                <w:rFonts w:hint="eastAsia" w:ascii="新宋体" w:hAnsi="新宋体" w:eastAsia="新宋体" w:cs="新宋体"/>
                <w:bCs/>
                <w:color w:val="FF0000"/>
                <w:sz w:val="24"/>
              </w:rPr>
              <w:t xml:space="preserve">  </w:t>
            </w:r>
          </w:p>
        </w:tc>
        <w:tc>
          <w:tcPr>
            <w:tcW w:w="1284" w:type="pct"/>
            <w:vAlign w:val="center"/>
          </w:tcPr>
          <w:p>
            <w:pPr>
              <w:jc w:val="center"/>
              <w:rPr>
                <w:rFonts w:ascii="新宋体" w:hAnsi="新宋体" w:eastAsia="新宋体" w:cs="新宋体"/>
                <w:bCs/>
                <w:color w:val="FF0000"/>
                <w:sz w:val="24"/>
              </w:rPr>
            </w:pPr>
          </w:p>
        </w:tc>
        <w:tc>
          <w:tcPr>
            <w:tcW w:w="398" w:type="pct"/>
            <w:vAlign w:val="center"/>
          </w:tcPr>
          <w:p>
            <w:pPr>
              <w:jc w:val="center"/>
              <w:rPr>
                <w:rFonts w:ascii="新宋体" w:hAnsi="新宋体" w:eastAsia="新宋体" w:cs="新宋体"/>
                <w:bCs/>
                <w:color w:val="FF0000"/>
                <w:sz w:val="24"/>
              </w:rPr>
            </w:pPr>
          </w:p>
        </w:tc>
        <w:tc>
          <w:tcPr>
            <w:tcW w:w="862" w:type="pct"/>
            <w:vAlign w:val="center"/>
          </w:tcPr>
          <w:p>
            <w:pPr>
              <w:ind w:firstLine="120" w:firstLineChars="50"/>
              <w:jc w:val="center"/>
              <w:rPr>
                <w:rFonts w:ascii="新宋体" w:hAnsi="新宋体" w:eastAsia="新宋体" w:cs="新宋体"/>
                <w:bCs/>
                <w:color w:val="FF0000"/>
                <w:sz w:val="24"/>
              </w:rPr>
            </w:pPr>
          </w:p>
        </w:tc>
        <w:tc>
          <w:tcPr>
            <w:tcW w:w="874" w:type="pct"/>
            <w:vAlign w:val="center"/>
          </w:tcPr>
          <w:p>
            <w:pPr>
              <w:ind w:firstLine="120" w:firstLineChars="50"/>
              <w:jc w:val="center"/>
              <w:rPr>
                <w:rFonts w:ascii="新宋体" w:hAnsi="新宋体" w:eastAsia="新宋体" w:cs="新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000" w:type="pct"/>
            <w:gridSpan w:val="5"/>
            <w:vAlign w:val="center"/>
          </w:tcPr>
          <w:p>
            <w:pPr>
              <w:jc w:val="left"/>
              <w:rPr>
                <w:rFonts w:ascii="新宋体" w:hAnsi="新宋体" w:eastAsia="新宋体" w:cs="新宋体"/>
                <w:sz w:val="24"/>
              </w:rPr>
            </w:pPr>
            <w:r>
              <w:rPr>
                <w:rFonts w:hint="eastAsia" w:ascii="新宋体" w:hAnsi="新宋体" w:eastAsia="新宋体" w:cs="新宋体"/>
                <w:sz w:val="24"/>
              </w:rPr>
              <w:t>总金额：人民币</w:t>
            </w:r>
            <w:r>
              <w:rPr>
                <w:rFonts w:hint="eastAsia" w:ascii="新宋体" w:hAnsi="新宋体" w:eastAsia="新宋体" w:cs="新宋体"/>
                <w:sz w:val="24"/>
                <w:u w:val="single"/>
              </w:rPr>
              <w:t xml:space="preserve">          </w:t>
            </w:r>
            <w:r>
              <w:rPr>
                <w:rFonts w:hint="eastAsia" w:ascii="新宋体" w:hAnsi="新宋体" w:eastAsia="新宋体" w:cs="新宋体"/>
                <w:sz w:val="24"/>
              </w:rPr>
              <w:t>（大写）</w:t>
            </w:r>
          </w:p>
          <w:p>
            <w:pPr>
              <w:jc w:val="left"/>
              <w:rPr>
                <w:rFonts w:ascii="新宋体" w:hAnsi="新宋体" w:eastAsia="新宋体" w:cs="新宋体"/>
                <w:color w:val="FF0000"/>
                <w:sz w:val="24"/>
              </w:rPr>
            </w:pP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（小写）</w:t>
            </w:r>
          </w:p>
        </w:tc>
      </w:tr>
    </w:tbl>
    <w:p>
      <w:pPr>
        <w:numPr>
          <w:ilvl w:val="0"/>
          <w:numId w:val="1"/>
        </w:numPr>
        <w:tabs>
          <w:tab w:val="clear" w:pos="1395"/>
        </w:tabs>
        <w:spacing w:before="240" w:line="360" w:lineRule="auto"/>
        <w:ind w:left="851" w:hanging="851"/>
        <w:rPr>
          <w:rFonts w:ascii="新宋体" w:hAnsi="新宋体" w:eastAsia="新宋体" w:cs="新宋体"/>
          <w:sz w:val="24"/>
        </w:rPr>
      </w:pPr>
      <w:r>
        <w:rPr>
          <w:rFonts w:hint="eastAsia" w:ascii="新宋体" w:hAnsi="新宋体" w:eastAsia="新宋体" w:cs="新宋体"/>
          <w:sz w:val="24"/>
        </w:rPr>
        <w:t>付款方式：</w:t>
      </w:r>
    </w:p>
    <w:p>
      <w:pPr>
        <w:numPr>
          <w:ilvl w:val="1"/>
          <w:numId w:val="1"/>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甲方、乙方商定此协议总金额以1美元兑换</w:t>
      </w:r>
      <w:r>
        <w:rPr>
          <w:rFonts w:hint="eastAsia" w:ascii="新宋体" w:hAnsi="新宋体" w:eastAsia="新宋体" w:cs="新宋体"/>
          <w:sz w:val="24"/>
          <w:u w:val="single"/>
        </w:rPr>
        <w:t xml:space="preserve">     </w:t>
      </w:r>
      <w:r>
        <w:rPr>
          <w:rFonts w:hint="eastAsia" w:ascii="新宋体" w:hAnsi="新宋体" w:eastAsia="新宋体" w:cs="新宋体"/>
          <w:sz w:val="24"/>
        </w:rPr>
        <w:t>元人民币计算（以开标当天人民币兑美元现汇卖出价为基准）（总金额包含：设备费，技术服务费，安装及调试费、培训费，设计和技术资料费，专用工具费、备品备件费(列单价和数量)、伴随服务费、海运运费、保险费、外贸代理费、关税、增值税、保修期内维修服务费等）</w:t>
      </w:r>
    </w:p>
    <w:p>
      <w:pPr>
        <w:spacing w:line="360" w:lineRule="auto"/>
        <w:ind w:left="851"/>
        <w:rPr>
          <w:rFonts w:ascii="新宋体" w:hAnsi="新宋体" w:eastAsia="新宋体" w:cs="新宋体"/>
          <w:sz w:val="24"/>
        </w:rPr>
      </w:pPr>
      <w:r>
        <w:rPr>
          <w:rFonts w:hint="eastAsia" w:ascii="新宋体" w:hAnsi="新宋体" w:eastAsia="新宋体" w:cs="新宋体"/>
          <w:sz w:val="24"/>
        </w:rPr>
        <w:t xml:space="preserve">总金额:￥: </w:t>
      </w:r>
      <w:r>
        <w:rPr>
          <w:rFonts w:hint="eastAsia" w:ascii="新宋体" w:hAnsi="新宋体" w:eastAsia="新宋体" w:cs="新宋体"/>
          <w:sz w:val="24"/>
          <w:u w:val="single"/>
        </w:rPr>
        <w:t xml:space="preserve">     </w:t>
      </w:r>
      <w:r>
        <w:rPr>
          <w:rFonts w:hint="eastAsia" w:ascii="新宋体" w:hAnsi="新宋体" w:eastAsia="新宋体" w:cs="新宋体"/>
          <w:sz w:val="24"/>
        </w:rPr>
        <w:t>（人民币大写：</w:t>
      </w:r>
      <w:r>
        <w:rPr>
          <w:rFonts w:hint="eastAsia" w:ascii="新宋体" w:hAnsi="新宋体" w:eastAsia="新宋体" w:cs="新宋体"/>
          <w:sz w:val="24"/>
          <w:u w:val="single"/>
        </w:rPr>
        <w:t xml:space="preserve">     元整</w:t>
      </w:r>
      <w:r>
        <w:rPr>
          <w:rFonts w:hint="eastAsia" w:ascii="新宋体" w:hAnsi="新宋体" w:eastAsia="新宋体" w:cs="新宋体"/>
          <w:sz w:val="24"/>
        </w:rPr>
        <w:t>）。</w:t>
      </w:r>
    </w:p>
    <w:p>
      <w:pPr>
        <w:numPr>
          <w:ilvl w:val="1"/>
          <w:numId w:val="1"/>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lang w:val="en-US" w:eastAsia="zh-CN"/>
        </w:rPr>
        <w:t>协议</w:t>
      </w:r>
      <w:r>
        <w:rPr>
          <w:rFonts w:hint="eastAsia" w:ascii="新宋体" w:hAnsi="新宋体" w:eastAsia="新宋体" w:cs="新宋体"/>
          <w:sz w:val="24"/>
        </w:rPr>
        <w:t>执行期间内汇率固定不变。</w:t>
      </w:r>
    </w:p>
    <w:p>
      <w:pPr>
        <w:numPr>
          <w:ilvl w:val="1"/>
          <w:numId w:val="1"/>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协议签订后15个工作日内，甲方即向乙方支付协议总金额的90%作为预付款，即￥：</w:t>
      </w:r>
      <w:r>
        <w:rPr>
          <w:rFonts w:hint="eastAsia" w:ascii="新宋体" w:hAnsi="新宋体" w:eastAsia="新宋体" w:cs="新宋体"/>
          <w:sz w:val="24"/>
          <w:u w:val="single"/>
        </w:rPr>
        <w:t xml:space="preserve">      元</w:t>
      </w:r>
      <w:r>
        <w:rPr>
          <w:rFonts w:hint="eastAsia" w:ascii="新宋体" w:hAnsi="新宋体" w:eastAsia="新宋体" w:cs="新宋体"/>
          <w:sz w:val="24"/>
        </w:rPr>
        <w:t>（人民币大写：</w:t>
      </w:r>
      <w:r>
        <w:rPr>
          <w:rFonts w:hint="eastAsia" w:ascii="新宋体" w:hAnsi="新宋体" w:eastAsia="新宋体" w:cs="新宋体"/>
          <w:sz w:val="24"/>
          <w:u w:val="single"/>
        </w:rPr>
        <w:t xml:space="preserve">     </w:t>
      </w:r>
      <w:r>
        <w:rPr>
          <w:rFonts w:hint="eastAsia" w:ascii="新宋体" w:hAnsi="新宋体" w:eastAsia="新宋体" w:cs="新宋体"/>
          <w:sz w:val="24"/>
        </w:rPr>
        <w:t>元整 ）。</w:t>
      </w:r>
    </w:p>
    <w:p>
      <w:pPr>
        <w:numPr>
          <w:ilvl w:val="1"/>
          <w:numId w:val="1"/>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货到安装验收合格一年后15日内，甲方支付该设备剩余尾款。</w:t>
      </w:r>
    </w:p>
    <w:p>
      <w:pPr>
        <w:numPr>
          <w:ilvl w:val="1"/>
          <w:numId w:val="1"/>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根据甲方要求,乙方开具合格相应发票。</w:t>
      </w:r>
    </w:p>
    <w:p>
      <w:pPr>
        <w:numPr>
          <w:ilvl w:val="0"/>
          <w:numId w:val="1"/>
        </w:numPr>
        <w:tabs>
          <w:tab w:val="clear" w:pos="1395"/>
        </w:tabs>
        <w:spacing w:line="360" w:lineRule="auto"/>
        <w:ind w:left="851" w:hanging="851"/>
        <w:rPr>
          <w:rFonts w:ascii="新宋体" w:hAnsi="新宋体" w:eastAsia="新宋体" w:cs="新宋体"/>
          <w:sz w:val="24"/>
        </w:rPr>
      </w:pPr>
      <w:r>
        <w:rPr>
          <w:rFonts w:hint="eastAsia" w:ascii="新宋体" w:hAnsi="新宋体" w:eastAsia="新宋体" w:cs="新宋体"/>
          <w:sz w:val="24"/>
        </w:rPr>
        <w:t>交货期限：</w:t>
      </w:r>
      <w:r>
        <w:rPr>
          <w:rFonts w:hint="eastAsia" w:ascii="新宋体" w:hAnsi="新宋体" w:eastAsia="新宋体" w:cs="新宋体"/>
          <w:sz w:val="24"/>
          <w:lang w:val="en-US" w:eastAsia="zh-CN"/>
        </w:rPr>
        <w:t>协议</w:t>
      </w:r>
      <w:r>
        <w:rPr>
          <w:rFonts w:hint="eastAsia" w:ascii="新宋体" w:hAnsi="新宋体" w:eastAsia="新宋体" w:cs="新宋体"/>
          <w:sz w:val="24"/>
        </w:rPr>
        <w:t>生效后</w:t>
      </w:r>
      <w:r>
        <w:rPr>
          <w:rFonts w:hint="eastAsia" w:ascii="新宋体" w:hAnsi="新宋体" w:eastAsia="新宋体" w:cs="新宋体"/>
          <w:sz w:val="24"/>
          <w:u w:val="single"/>
        </w:rPr>
        <w:t xml:space="preserve">     </w:t>
      </w:r>
      <w:r>
        <w:rPr>
          <w:rFonts w:hint="eastAsia"/>
          <w:color w:val="000000"/>
          <w:sz w:val="24"/>
          <w:lang w:val="en-US" w:eastAsia="zh-CN"/>
        </w:rPr>
        <w:t>日历日</w:t>
      </w:r>
      <w:r>
        <w:rPr>
          <w:rFonts w:hint="eastAsia" w:ascii="新宋体" w:hAnsi="新宋体" w:eastAsia="新宋体" w:cs="新宋体"/>
          <w:sz w:val="24"/>
        </w:rPr>
        <w:t>内全部设备到货。</w:t>
      </w:r>
    </w:p>
    <w:p>
      <w:pPr>
        <w:numPr>
          <w:ilvl w:val="0"/>
          <w:numId w:val="1"/>
        </w:numPr>
        <w:tabs>
          <w:tab w:val="clear" w:pos="1395"/>
        </w:tabs>
        <w:spacing w:line="360" w:lineRule="auto"/>
        <w:ind w:left="851" w:hanging="851"/>
        <w:rPr>
          <w:rFonts w:ascii="新宋体" w:hAnsi="新宋体" w:eastAsia="新宋体" w:cs="新宋体"/>
          <w:sz w:val="24"/>
        </w:rPr>
      </w:pPr>
      <w:r>
        <w:rPr>
          <w:rFonts w:hint="eastAsia" w:ascii="新宋体" w:hAnsi="新宋体" w:eastAsia="新宋体" w:cs="新宋体"/>
          <w:sz w:val="24"/>
        </w:rPr>
        <w:t>交货方式：由乙方负责向甲方交付。乙方将设备送达甲方或医院指定地点，</w:t>
      </w:r>
      <w:r>
        <w:rPr>
          <w:rFonts w:hint="eastAsia" w:ascii="新宋体" w:hAnsi="新宋体" w:eastAsia="新宋体" w:cs="新宋体"/>
          <w:bCs/>
          <w:sz w:val="24"/>
        </w:rPr>
        <w:t>货到当日由甲方或甲方指定的收货人签收，签收货物前甲方承诺对乙方送至的该产品的数量、外包装进行检验确认</w:t>
      </w:r>
      <w:r>
        <w:rPr>
          <w:rFonts w:hint="eastAsia" w:ascii="新宋体" w:hAnsi="新宋体" w:eastAsia="新宋体" w:cs="新宋体"/>
          <w:sz w:val="24"/>
        </w:rPr>
        <w:t>。甲方检验确认后如有异议，须在货到当日并在签收确认之前通知乙方，乙方应立即处理解决。</w:t>
      </w:r>
    </w:p>
    <w:p>
      <w:pPr>
        <w:numPr>
          <w:ilvl w:val="0"/>
          <w:numId w:val="1"/>
        </w:numPr>
        <w:tabs>
          <w:tab w:val="clear" w:pos="1395"/>
        </w:tabs>
        <w:spacing w:line="360" w:lineRule="auto"/>
        <w:ind w:left="993" w:hanging="993"/>
        <w:rPr>
          <w:rFonts w:ascii="新宋体" w:hAnsi="新宋体" w:eastAsia="新宋体" w:cs="新宋体"/>
          <w:sz w:val="24"/>
        </w:rPr>
      </w:pPr>
      <w:r>
        <w:rPr>
          <w:rFonts w:hint="eastAsia" w:ascii="新宋体" w:hAnsi="新宋体" w:eastAsia="新宋体" w:cs="新宋体"/>
          <w:sz w:val="24"/>
        </w:rPr>
        <w:t>委托人义务：</w:t>
      </w:r>
    </w:p>
    <w:p>
      <w:pPr>
        <w:numPr>
          <w:ilvl w:val="1"/>
          <w:numId w:val="1"/>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及时向乙方提供进口货物的详细中英文清单及在委托乙方之前已获得的有关卖方的报价和相关资料。</w:t>
      </w:r>
    </w:p>
    <w:p>
      <w:pPr>
        <w:numPr>
          <w:ilvl w:val="1"/>
          <w:numId w:val="1"/>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负责</w:t>
      </w:r>
      <w:r>
        <w:rPr>
          <w:rFonts w:hint="eastAsia" w:ascii="新宋体" w:hAnsi="新宋体" w:eastAsia="新宋体" w:cs="新宋体"/>
          <w:sz w:val="24"/>
          <w:lang w:val="en-US" w:eastAsia="zh-CN"/>
        </w:rPr>
        <w:t>协议</w:t>
      </w:r>
      <w:r>
        <w:rPr>
          <w:rFonts w:hint="eastAsia" w:ascii="新宋体" w:hAnsi="新宋体" w:eastAsia="新宋体" w:cs="新宋体"/>
          <w:sz w:val="24"/>
        </w:rPr>
        <w:t>技术条款的对外洽谈，确定对外合同中产品名称、型号、数量、技术指标及技术文件，主签技术附件，负责进口合同项下甲方应承担的技术工作；协助乙方共同制定合同商务文本，附签商务条款。</w:t>
      </w:r>
    </w:p>
    <w:p>
      <w:pPr>
        <w:tabs>
          <w:tab w:val="left" w:pos="851"/>
        </w:tabs>
        <w:spacing w:line="360" w:lineRule="auto"/>
        <w:ind w:left="850" w:leftChars="203" w:hanging="424" w:hangingChars="177"/>
        <w:rPr>
          <w:rFonts w:ascii="新宋体" w:hAnsi="新宋体" w:eastAsia="新宋体" w:cs="新宋体"/>
          <w:sz w:val="24"/>
        </w:rPr>
      </w:pPr>
      <w:r>
        <w:rPr>
          <w:rFonts w:hint="eastAsia" w:ascii="新宋体" w:hAnsi="新宋体" w:eastAsia="新宋体" w:cs="新宋体"/>
          <w:sz w:val="24"/>
        </w:rPr>
        <w:t>3. 甲方负责按照政府采购合同规定，给乙方付款。乙方收到甲方货款后，按照外贸合同的相关条款对外开立90%的信用证和10%的电汇。</w:t>
      </w:r>
    </w:p>
    <w:p>
      <w:pPr>
        <w:numPr>
          <w:ilvl w:val="0"/>
          <w:numId w:val="2"/>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若所订货物符合国家免税政策，乙方协助甲方办理免税手续。由于国家政策变化引起的额外加征关税由甲方项目的中标方承担。</w:t>
      </w:r>
    </w:p>
    <w:p>
      <w:pPr>
        <w:numPr>
          <w:ilvl w:val="0"/>
          <w:numId w:val="2"/>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负责办理外贸合同中规定的国家批准文件，如涉及特殊产品的进口，产品进口许可证由甲方负责办理。甲方负责对外合同的送审、报批和登记手续。乙方协助办理。</w:t>
      </w:r>
    </w:p>
    <w:p>
      <w:pPr>
        <w:numPr>
          <w:ilvl w:val="0"/>
          <w:numId w:val="2"/>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见货后，立即检验货物的外包装及数量。如发现外包装破损或数量不一致的情况下，经有关运输公司出据破损证明及商检部门、保险公司检验证明后接货，在获得上述检验文件后立即将正本交给乙方对外交涉。甲方接货后，会同有关人员，按对外合同规定安排拆箱、检验、安装、调试、验收。在执行前述各个环节过程中如发现问题，甲方应立即与乙方联系，并提交商检证等检验文件，以便乙方对外交涉。</w:t>
      </w:r>
    </w:p>
    <w:p>
      <w:pPr>
        <w:numPr>
          <w:ilvl w:val="0"/>
          <w:numId w:val="2"/>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如发生对外合同中所规定的不可抗力事件时，应及时通知乙方并在对外合同规定的期限内提供有关机构出具的证明，以便乙方与外商交谈，进行索赔。</w:t>
      </w:r>
    </w:p>
    <w:p>
      <w:pPr>
        <w:numPr>
          <w:ilvl w:val="0"/>
          <w:numId w:val="2"/>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发生对外合同纠纷时，负责处理进口合同执行过程中的有关纠纷和索赔事宜并承担相关费用。</w:t>
      </w:r>
    </w:p>
    <w:p>
      <w:pPr>
        <w:numPr>
          <w:ilvl w:val="0"/>
          <w:numId w:val="1"/>
        </w:numPr>
        <w:tabs>
          <w:tab w:val="left" w:pos="851"/>
          <w:tab w:val="clear" w:pos="1395"/>
        </w:tabs>
        <w:spacing w:line="360" w:lineRule="auto"/>
        <w:ind w:hanging="1395"/>
        <w:rPr>
          <w:rFonts w:ascii="新宋体" w:hAnsi="新宋体" w:eastAsia="新宋体" w:cs="新宋体"/>
          <w:sz w:val="24"/>
        </w:rPr>
      </w:pPr>
      <w:r>
        <w:rPr>
          <w:rFonts w:hint="eastAsia" w:ascii="新宋体" w:hAnsi="新宋体" w:eastAsia="新宋体" w:cs="新宋体"/>
          <w:sz w:val="24"/>
        </w:rPr>
        <w:t>代理人义务：</w:t>
      </w:r>
    </w:p>
    <w:p>
      <w:pPr>
        <w:numPr>
          <w:ilvl w:val="0"/>
          <w:numId w:val="2"/>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乙方在收到甲方汇来的货款,将货款按照外贸合同条款支付给外方。</w:t>
      </w:r>
    </w:p>
    <w:p>
      <w:pPr>
        <w:numPr>
          <w:ilvl w:val="0"/>
          <w:numId w:val="2"/>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协助甲方办理进口许可证等进口手续及对外合同的送审、报批和登记手续。</w:t>
      </w:r>
    </w:p>
    <w:p>
      <w:pPr>
        <w:numPr>
          <w:ilvl w:val="0"/>
          <w:numId w:val="2"/>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负责进口通关，报检报验等相关手续并代理甲方安排货物到港后直至甲方指定地点的国内运输和保险事宜，报关报检及运费保险费等由甲方承担，协助甲方安排进口货物的验收等工作。</w:t>
      </w:r>
    </w:p>
    <w:p>
      <w:pPr>
        <w:numPr>
          <w:ilvl w:val="0"/>
          <w:numId w:val="2"/>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协助甲方处理进口合同执行过程中的有关纠纷和索赔事宜。</w:t>
      </w:r>
    </w:p>
    <w:p>
      <w:pPr>
        <w:numPr>
          <w:ilvl w:val="0"/>
          <w:numId w:val="2"/>
        </w:numPr>
        <w:tabs>
          <w:tab w:val="left" w:pos="851"/>
          <w:tab w:val="clear" w:pos="1230"/>
        </w:tabs>
        <w:spacing w:line="360" w:lineRule="auto"/>
        <w:ind w:left="851" w:hanging="425"/>
        <w:rPr>
          <w:rFonts w:ascii="新宋体" w:hAnsi="新宋体" w:eastAsia="新宋体" w:cs="新宋体"/>
          <w:sz w:val="24"/>
        </w:rPr>
      </w:pPr>
      <w:r>
        <w:rPr>
          <w:rFonts w:hint="eastAsia" w:ascii="新宋体" w:hAnsi="新宋体" w:eastAsia="新宋体" w:cs="新宋体"/>
          <w:sz w:val="24"/>
        </w:rPr>
        <w:t>负责在外贸合同履行完毕后14天内，根据甲方要求，开具合格发票。</w:t>
      </w:r>
    </w:p>
    <w:p>
      <w:pPr>
        <w:numPr>
          <w:ilvl w:val="0"/>
          <w:numId w:val="1"/>
        </w:numPr>
        <w:tabs>
          <w:tab w:val="left" w:pos="851"/>
          <w:tab w:val="clear" w:pos="1395"/>
        </w:tabs>
        <w:spacing w:line="360" w:lineRule="auto"/>
        <w:ind w:left="851" w:hanging="851"/>
        <w:rPr>
          <w:rFonts w:ascii="新宋体" w:hAnsi="新宋体" w:eastAsia="新宋体" w:cs="新宋体"/>
          <w:sz w:val="24"/>
        </w:rPr>
      </w:pPr>
      <w:r>
        <w:rPr>
          <w:rFonts w:hint="eastAsia" w:ascii="新宋体" w:hAnsi="新宋体" w:eastAsia="新宋体" w:cs="新宋体"/>
          <w:sz w:val="24"/>
        </w:rPr>
        <w:t>双方确认代理人对外签订的合同中所有条款，是由双方共同商定，共同认可的，双方应保证认真遵守，共同执行。双方均认识到，尽管对外合同是由代理人以买方的名义签署并承诺承担义务，但委托方同样应予遵守。</w:t>
      </w:r>
    </w:p>
    <w:p>
      <w:pPr>
        <w:numPr>
          <w:ilvl w:val="0"/>
          <w:numId w:val="1"/>
        </w:numPr>
        <w:tabs>
          <w:tab w:val="left" w:pos="851"/>
          <w:tab w:val="clear" w:pos="1395"/>
        </w:tabs>
        <w:spacing w:line="360" w:lineRule="auto"/>
        <w:ind w:hanging="1395"/>
        <w:rPr>
          <w:rFonts w:ascii="新宋体" w:hAnsi="新宋体" w:eastAsia="新宋体" w:cs="新宋体"/>
          <w:sz w:val="24"/>
        </w:rPr>
      </w:pPr>
      <w:r>
        <w:rPr>
          <w:rFonts w:hint="eastAsia" w:ascii="新宋体" w:hAnsi="新宋体" w:eastAsia="新宋体" w:cs="新宋体"/>
          <w:sz w:val="24"/>
        </w:rPr>
        <w:t>代理手续费：</w:t>
      </w:r>
    </w:p>
    <w:p>
      <w:pPr>
        <w:spacing w:line="360" w:lineRule="auto"/>
        <w:ind w:left="847" w:leftChars="399" w:hanging="9" w:hangingChars="4"/>
        <w:rPr>
          <w:rFonts w:ascii="新宋体" w:hAnsi="新宋体" w:eastAsia="新宋体" w:cs="新宋体"/>
          <w:sz w:val="24"/>
        </w:rPr>
      </w:pPr>
      <w:r>
        <w:rPr>
          <w:rFonts w:hint="eastAsia" w:ascii="新宋体" w:hAnsi="新宋体" w:eastAsia="新宋体" w:cs="新宋体"/>
          <w:sz w:val="24"/>
        </w:rPr>
        <w:t>乙方向甲方的项目中标方收取代理费，贸易代理费按照</w:t>
      </w:r>
      <w:r>
        <w:rPr>
          <w:rFonts w:hint="eastAsia" w:ascii="新宋体" w:hAnsi="新宋体" w:eastAsia="新宋体" w:cs="新宋体"/>
          <w:sz w:val="24"/>
          <w:lang w:val="en-US" w:eastAsia="zh-CN"/>
        </w:rPr>
        <w:t>协议</w:t>
      </w:r>
      <w:r>
        <w:rPr>
          <w:rFonts w:hint="eastAsia" w:ascii="新宋体" w:hAnsi="新宋体" w:eastAsia="新宋体" w:cs="新宋体"/>
          <w:sz w:val="24"/>
        </w:rPr>
        <w:t>总金额收取。银行付汇，海关报关，机场费用以及商检产生的费用按照实际支出金额由甲方的项目中标方承担。由于外方原因所造成的产品质量责任、履约责任及承运人责任等，由甲方的项目中标方向乙方及时支付代理费。</w:t>
      </w:r>
    </w:p>
    <w:p>
      <w:pPr>
        <w:numPr>
          <w:ilvl w:val="0"/>
          <w:numId w:val="1"/>
        </w:numPr>
        <w:tabs>
          <w:tab w:val="left" w:pos="851"/>
          <w:tab w:val="clear" w:pos="1395"/>
        </w:tabs>
        <w:spacing w:line="360" w:lineRule="auto"/>
        <w:ind w:left="851" w:hanging="851"/>
        <w:rPr>
          <w:rFonts w:ascii="新宋体" w:hAnsi="新宋体" w:eastAsia="新宋体" w:cs="新宋体"/>
          <w:sz w:val="24"/>
        </w:rPr>
      </w:pPr>
      <w:r>
        <w:rPr>
          <w:rFonts w:hint="eastAsia" w:ascii="新宋体" w:hAnsi="新宋体" w:eastAsia="新宋体" w:cs="新宋体"/>
          <w:sz w:val="24"/>
        </w:rPr>
        <w:t>本</w:t>
      </w:r>
      <w:r>
        <w:rPr>
          <w:rFonts w:hint="eastAsia" w:ascii="新宋体" w:hAnsi="新宋体" w:eastAsia="新宋体" w:cs="新宋体"/>
          <w:sz w:val="24"/>
          <w:lang w:val="en-US" w:eastAsia="zh-CN"/>
        </w:rPr>
        <w:t>协议</w:t>
      </w:r>
      <w:r>
        <w:rPr>
          <w:rFonts w:hint="eastAsia" w:ascii="新宋体" w:hAnsi="新宋体" w:eastAsia="新宋体" w:cs="新宋体"/>
          <w:sz w:val="24"/>
        </w:rPr>
        <w:t>中规定的代理手续费不包括对外合同项下仲裁、诉讼及外商破产、清算等事宜所需的费用。</w:t>
      </w:r>
    </w:p>
    <w:p>
      <w:pPr>
        <w:numPr>
          <w:ilvl w:val="0"/>
          <w:numId w:val="1"/>
        </w:numPr>
        <w:tabs>
          <w:tab w:val="left" w:pos="851"/>
          <w:tab w:val="clear" w:pos="1395"/>
        </w:tabs>
        <w:spacing w:line="360" w:lineRule="auto"/>
        <w:ind w:left="851" w:hanging="851"/>
        <w:rPr>
          <w:rFonts w:ascii="新宋体" w:hAnsi="新宋体" w:eastAsia="新宋体" w:cs="新宋体"/>
          <w:sz w:val="24"/>
        </w:rPr>
      </w:pPr>
      <w:r>
        <w:rPr>
          <w:rFonts w:hint="eastAsia" w:ascii="新宋体" w:hAnsi="新宋体" w:eastAsia="新宋体" w:cs="新宋体"/>
          <w:sz w:val="24"/>
        </w:rPr>
        <w:t>双方及时相互通报执行</w:t>
      </w:r>
      <w:r>
        <w:rPr>
          <w:rFonts w:hint="eastAsia" w:ascii="新宋体" w:hAnsi="新宋体" w:eastAsia="新宋体" w:cs="新宋体"/>
          <w:sz w:val="24"/>
          <w:lang w:val="en-US" w:eastAsia="zh-CN"/>
        </w:rPr>
        <w:t>协议</w:t>
      </w:r>
      <w:r>
        <w:rPr>
          <w:rFonts w:hint="eastAsia" w:ascii="新宋体" w:hAnsi="新宋体" w:eastAsia="新宋体" w:cs="新宋体"/>
          <w:sz w:val="24"/>
        </w:rPr>
        <w:t>中所发生的问题，及时磋商解决办法，由于延误造成的损失由延误方承担。</w:t>
      </w:r>
    </w:p>
    <w:p>
      <w:pPr>
        <w:numPr>
          <w:ilvl w:val="0"/>
          <w:numId w:val="1"/>
        </w:numPr>
        <w:tabs>
          <w:tab w:val="left" w:pos="1134"/>
          <w:tab w:val="clear" w:pos="1395"/>
        </w:tabs>
        <w:spacing w:line="360" w:lineRule="auto"/>
        <w:ind w:left="1134" w:hanging="1134"/>
        <w:rPr>
          <w:rFonts w:ascii="新宋体" w:hAnsi="新宋体" w:eastAsia="新宋体" w:cs="新宋体"/>
          <w:sz w:val="24"/>
        </w:rPr>
      </w:pPr>
      <w:r>
        <w:rPr>
          <w:rFonts w:hint="eastAsia" w:ascii="新宋体" w:hAnsi="新宋体" w:eastAsia="新宋体" w:cs="新宋体"/>
          <w:sz w:val="24"/>
        </w:rPr>
        <w:t>双方应认真履行本代理</w:t>
      </w:r>
      <w:r>
        <w:rPr>
          <w:rFonts w:hint="eastAsia" w:ascii="新宋体" w:hAnsi="新宋体" w:eastAsia="新宋体" w:cs="新宋体"/>
          <w:sz w:val="24"/>
          <w:lang w:val="en-US" w:eastAsia="zh-CN"/>
        </w:rPr>
        <w:t>协议</w:t>
      </w:r>
      <w:r>
        <w:rPr>
          <w:rFonts w:hint="eastAsia" w:ascii="新宋体" w:hAnsi="新宋体" w:eastAsia="新宋体" w:cs="新宋体"/>
          <w:sz w:val="24"/>
        </w:rPr>
        <w:t>，由于任何一方过错使</w:t>
      </w:r>
      <w:r>
        <w:rPr>
          <w:rFonts w:hint="eastAsia" w:ascii="新宋体" w:hAnsi="新宋体" w:eastAsia="新宋体" w:cs="新宋体"/>
          <w:sz w:val="24"/>
          <w:lang w:val="en-US" w:eastAsia="zh-CN"/>
        </w:rPr>
        <w:t>协议</w:t>
      </w:r>
      <w:r>
        <w:rPr>
          <w:rFonts w:hint="eastAsia" w:ascii="新宋体" w:hAnsi="新宋体" w:eastAsia="新宋体" w:cs="新宋体"/>
          <w:sz w:val="24"/>
        </w:rPr>
        <w:t>不能履行、 不能完全履行、延迟履行或履行不符合约定条件的，由过错方承担责任。</w:t>
      </w:r>
    </w:p>
    <w:p>
      <w:pPr>
        <w:numPr>
          <w:ilvl w:val="0"/>
          <w:numId w:val="1"/>
        </w:numPr>
        <w:tabs>
          <w:tab w:val="left" w:pos="1134"/>
          <w:tab w:val="clear" w:pos="1395"/>
        </w:tabs>
        <w:spacing w:line="360" w:lineRule="auto"/>
        <w:ind w:left="1134" w:hanging="1134"/>
        <w:rPr>
          <w:rFonts w:ascii="新宋体" w:hAnsi="新宋体" w:eastAsia="新宋体" w:cs="新宋体"/>
          <w:sz w:val="24"/>
        </w:rPr>
      </w:pPr>
      <w:r>
        <w:rPr>
          <w:rFonts w:hint="eastAsia" w:ascii="新宋体" w:hAnsi="新宋体" w:eastAsia="新宋体" w:cs="新宋体"/>
          <w:sz w:val="24"/>
        </w:rPr>
        <w:t>双方有关执行本代理</w:t>
      </w:r>
      <w:r>
        <w:rPr>
          <w:rFonts w:hint="eastAsia" w:ascii="新宋体" w:hAnsi="新宋体" w:eastAsia="新宋体" w:cs="新宋体"/>
          <w:sz w:val="24"/>
          <w:lang w:val="en-US" w:eastAsia="zh-CN"/>
        </w:rPr>
        <w:t>协议</w:t>
      </w:r>
      <w:r>
        <w:rPr>
          <w:rFonts w:hint="eastAsia" w:ascii="新宋体" w:hAnsi="新宋体" w:eastAsia="新宋体" w:cs="新宋体"/>
          <w:sz w:val="24"/>
        </w:rPr>
        <w:t>的重要往来联系应以正式的书面文件为准，紧急事项应用电话联系，但事后需用书面确认。</w:t>
      </w:r>
    </w:p>
    <w:p>
      <w:pPr>
        <w:numPr>
          <w:ilvl w:val="0"/>
          <w:numId w:val="1"/>
        </w:numPr>
        <w:tabs>
          <w:tab w:val="left" w:pos="1134"/>
          <w:tab w:val="clear" w:pos="1395"/>
        </w:tabs>
        <w:spacing w:line="360" w:lineRule="auto"/>
        <w:ind w:left="1134" w:hanging="1134"/>
        <w:rPr>
          <w:rFonts w:ascii="新宋体" w:hAnsi="新宋体" w:eastAsia="新宋体" w:cs="新宋体"/>
          <w:sz w:val="24"/>
        </w:rPr>
      </w:pPr>
      <w:r>
        <w:rPr>
          <w:rFonts w:hint="eastAsia" w:ascii="新宋体" w:hAnsi="新宋体" w:eastAsia="新宋体" w:cs="新宋体"/>
          <w:sz w:val="24"/>
        </w:rPr>
        <w:t>本代理</w:t>
      </w:r>
      <w:r>
        <w:rPr>
          <w:rFonts w:hint="eastAsia" w:ascii="新宋体" w:hAnsi="新宋体" w:eastAsia="新宋体" w:cs="新宋体"/>
          <w:sz w:val="24"/>
          <w:lang w:val="en-US" w:eastAsia="zh-CN"/>
        </w:rPr>
        <w:t>协议</w:t>
      </w:r>
      <w:r>
        <w:rPr>
          <w:rFonts w:hint="eastAsia" w:ascii="新宋体" w:hAnsi="新宋体" w:eastAsia="新宋体" w:cs="新宋体"/>
          <w:sz w:val="24"/>
        </w:rPr>
        <w:t>未尽事宜，按《中华人民共和国民法典》办理。</w:t>
      </w:r>
    </w:p>
    <w:p>
      <w:pPr>
        <w:numPr>
          <w:ilvl w:val="0"/>
          <w:numId w:val="1"/>
        </w:numPr>
        <w:tabs>
          <w:tab w:val="left" w:pos="1134"/>
          <w:tab w:val="clear" w:pos="1395"/>
        </w:tabs>
        <w:spacing w:line="360" w:lineRule="auto"/>
        <w:ind w:left="1134" w:hanging="1134"/>
        <w:rPr>
          <w:rFonts w:ascii="新宋体" w:hAnsi="新宋体" w:eastAsia="新宋体" w:cs="新宋体"/>
          <w:sz w:val="24"/>
        </w:rPr>
      </w:pPr>
      <w:r>
        <w:rPr>
          <w:rFonts w:hint="eastAsia" w:ascii="新宋体" w:hAnsi="新宋体" w:eastAsia="新宋体" w:cs="新宋体"/>
          <w:sz w:val="24"/>
        </w:rPr>
        <w:t>双方同意，在执行本代理</w:t>
      </w:r>
      <w:r>
        <w:rPr>
          <w:rFonts w:hint="eastAsia" w:ascii="新宋体" w:hAnsi="新宋体" w:eastAsia="新宋体" w:cs="新宋体"/>
          <w:sz w:val="24"/>
          <w:lang w:val="en-US" w:eastAsia="zh-CN"/>
        </w:rPr>
        <w:t>协议</w:t>
      </w:r>
      <w:r>
        <w:rPr>
          <w:rFonts w:hint="eastAsia" w:ascii="新宋体" w:hAnsi="新宋体" w:eastAsia="新宋体" w:cs="新宋体"/>
          <w:sz w:val="24"/>
        </w:rPr>
        <w:t>过程中所发生的一切争议，应先通过友好协商解决，协商不成的向山东大学齐鲁医院所在地人民法院起诉。</w:t>
      </w:r>
    </w:p>
    <w:p>
      <w:pPr>
        <w:numPr>
          <w:ilvl w:val="0"/>
          <w:numId w:val="1"/>
        </w:numPr>
        <w:tabs>
          <w:tab w:val="left" w:pos="1134"/>
          <w:tab w:val="clear" w:pos="1395"/>
        </w:tabs>
        <w:spacing w:line="360" w:lineRule="auto"/>
        <w:ind w:left="1134" w:hanging="1134"/>
        <w:rPr>
          <w:rFonts w:ascii="新宋体" w:hAnsi="新宋体" w:eastAsia="新宋体" w:cs="新宋体"/>
          <w:sz w:val="24"/>
        </w:rPr>
      </w:pPr>
      <w:r>
        <w:rPr>
          <w:rFonts w:hint="eastAsia" w:ascii="新宋体" w:hAnsi="新宋体" w:eastAsia="新宋体" w:cs="新宋体"/>
          <w:sz w:val="24"/>
        </w:rPr>
        <w:t>双方约定的其它事项：本</w:t>
      </w:r>
      <w:r>
        <w:rPr>
          <w:rFonts w:hint="eastAsia" w:ascii="新宋体" w:hAnsi="新宋体" w:eastAsia="新宋体" w:cs="新宋体"/>
          <w:sz w:val="24"/>
          <w:lang w:val="en-US" w:eastAsia="zh-CN"/>
        </w:rPr>
        <w:t>协议</w:t>
      </w:r>
      <w:r>
        <w:rPr>
          <w:rFonts w:hint="eastAsia" w:ascii="新宋体" w:hAnsi="新宋体" w:eastAsia="新宋体" w:cs="新宋体"/>
          <w:sz w:val="24"/>
        </w:rPr>
        <w:t>其它的内贸、外贸合同和技术附件等相关文件，均视为本</w:t>
      </w:r>
      <w:r>
        <w:rPr>
          <w:rFonts w:hint="eastAsia" w:ascii="新宋体" w:hAnsi="新宋体" w:eastAsia="新宋体" w:cs="新宋体"/>
          <w:sz w:val="24"/>
          <w:lang w:val="en-US" w:eastAsia="zh-CN"/>
        </w:rPr>
        <w:t>协议</w:t>
      </w:r>
      <w:r>
        <w:rPr>
          <w:rFonts w:hint="eastAsia" w:ascii="新宋体" w:hAnsi="新宋体" w:eastAsia="新宋体" w:cs="新宋体"/>
          <w:sz w:val="24"/>
        </w:rPr>
        <w:t>不可分割的一部分，具有同等的法律效力。</w:t>
      </w:r>
    </w:p>
    <w:p>
      <w:pPr>
        <w:numPr>
          <w:ilvl w:val="0"/>
          <w:numId w:val="1"/>
        </w:numPr>
        <w:tabs>
          <w:tab w:val="left" w:pos="1134"/>
          <w:tab w:val="clear" w:pos="1395"/>
        </w:tabs>
        <w:spacing w:line="360" w:lineRule="auto"/>
        <w:ind w:left="1134" w:hanging="1134"/>
        <w:rPr>
          <w:rFonts w:ascii="新宋体" w:hAnsi="新宋体" w:eastAsia="新宋体" w:cs="新宋体"/>
          <w:sz w:val="24"/>
        </w:rPr>
      </w:pPr>
      <w:r>
        <w:rPr>
          <w:rFonts w:hint="eastAsia" w:ascii="新宋体" w:hAnsi="新宋体" w:eastAsia="新宋体" w:cs="新宋体"/>
          <w:sz w:val="24"/>
        </w:rPr>
        <w:t>本代理</w:t>
      </w:r>
      <w:r>
        <w:rPr>
          <w:rFonts w:hint="eastAsia" w:ascii="新宋体" w:hAnsi="新宋体" w:eastAsia="新宋体" w:cs="新宋体"/>
          <w:sz w:val="24"/>
          <w:lang w:val="en-US" w:eastAsia="zh-CN"/>
        </w:rPr>
        <w:t>协议</w:t>
      </w:r>
      <w:r>
        <w:rPr>
          <w:rFonts w:hint="eastAsia" w:ascii="新宋体" w:hAnsi="新宋体" w:eastAsia="新宋体" w:cs="新宋体"/>
          <w:sz w:val="24"/>
        </w:rPr>
        <w:t>一式五份，甲方四份、乙方一份，均具有同等法律效力。自双方授权代表签字并加盖公章之日起生效，有效期至双方责任与义务履行完毕之日止。</w:t>
      </w:r>
    </w:p>
    <w:p>
      <w:pPr>
        <w:spacing w:line="360" w:lineRule="auto"/>
        <w:ind w:left="450"/>
        <w:rPr>
          <w:rFonts w:ascii="新宋体" w:hAnsi="新宋体" w:eastAsia="新宋体" w:cs="新宋体"/>
          <w:sz w:val="24"/>
        </w:rPr>
      </w:pPr>
    </w:p>
    <w:p>
      <w:pPr>
        <w:spacing w:line="360" w:lineRule="auto"/>
        <w:ind w:left="450"/>
        <w:rPr>
          <w:rFonts w:ascii="新宋体" w:hAnsi="新宋体" w:eastAsia="新宋体" w:cs="新宋体"/>
          <w:sz w:val="24"/>
        </w:rPr>
      </w:pPr>
    </w:p>
    <w:p>
      <w:pPr>
        <w:spacing w:line="360" w:lineRule="auto"/>
        <w:ind w:left="450"/>
        <w:rPr>
          <w:rFonts w:ascii="新宋体" w:hAnsi="新宋体" w:eastAsia="新宋体" w:cs="新宋体"/>
          <w:sz w:val="24"/>
        </w:rPr>
      </w:pPr>
    </w:p>
    <w:p>
      <w:pPr>
        <w:spacing w:line="360" w:lineRule="auto"/>
        <w:rPr>
          <w:rFonts w:ascii="新宋体" w:hAnsi="新宋体" w:eastAsia="新宋体" w:cs="新宋体"/>
          <w:sz w:val="24"/>
        </w:rPr>
      </w:pPr>
    </w:p>
    <w:p>
      <w:pPr>
        <w:spacing w:line="360" w:lineRule="auto"/>
        <w:rPr>
          <w:sz w:val="24"/>
        </w:rPr>
      </w:pPr>
      <w:r>
        <w:rPr>
          <w:rFonts w:hint="eastAsia"/>
          <w:sz w:val="24"/>
        </w:rPr>
        <w:t>甲    方：山东大学齐鲁医院</w:t>
      </w:r>
      <w:r>
        <w:rPr>
          <w:rFonts w:hint="eastAsia"/>
          <w:sz w:val="24"/>
        </w:rPr>
        <w:tab/>
      </w:r>
      <w:r>
        <w:rPr>
          <w:rFonts w:hint="eastAsia"/>
          <w:sz w:val="24"/>
        </w:rPr>
        <w:tab/>
      </w:r>
      <w:r>
        <w:rPr>
          <w:rFonts w:hint="eastAsia"/>
          <w:sz w:val="24"/>
        </w:rPr>
        <w:tab/>
      </w:r>
      <w:r>
        <w:rPr>
          <w:rFonts w:hint="eastAsia"/>
          <w:sz w:val="24"/>
        </w:rPr>
        <w:tab/>
      </w:r>
      <w:r>
        <w:rPr>
          <w:rFonts w:hint="eastAsia"/>
          <w:sz w:val="24"/>
        </w:rPr>
        <w:t>乙    方：</w:t>
      </w:r>
    </w:p>
    <w:p>
      <w:pPr>
        <w:spacing w:line="360" w:lineRule="auto"/>
        <w:rPr>
          <w:sz w:val="24"/>
        </w:rPr>
      </w:pPr>
      <w:r>
        <w:rPr>
          <w:rFonts w:hint="eastAsia"/>
          <w:sz w:val="24"/>
        </w:rPr>
        <w:t>盖    章</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盖    章</w:t>
      </w:r>
    </w:p>
    <w:p>
      <w:pPr>
        <w:adjustRightInd w:val="0"/>
        <w:snapToGrid w:val="0"/>
        <w:spacing w:line="480" w:lineRule="auto"/>
        <w:rPr>
          <w:sz w:val="24"/>
        </w:rPr>
      </w:pPr>
      <w:r>
        <w:rPr>
          <w:rFonts w:hint="eastAsia"/>
          <w:sz w:val="24"/>
        </w:rPr>
        <w:t>法定代表人/授权委托人：                法定代表人：</w:t>
      </w:r>
    </w:p>
    <w:p>
      <w:pPr>
        <w:adjustRightInd w:val="0"/>
        <w:snapToGrid w:val="0"/>
        <w:spacing w:line="480" w:lineRule="auto"/>
        <w:rPr>
          <w:sz w:val="24"/>
        </w:rPr>
      </w:pPr>
      <w:r>
        <w:rPr>
          <w:rFonts w:hint="eastAsia"/>
          <w:sz w:val="24"/>
        </w:rPr>
        <w:t xml:space="preserve">分管院长：  </w:t>
      </w:r>
    </w:p>
    <w:p>
      <w:pPr>
        <w:adjustRightInd w:val="0"/>
        <w:snapToGrid w:val="0"/>
        <w:spacing w:line="480" w:lineRule="auto"/>
        <w:rPr>
          <w:sz w:val="24"/>
        </w:rPr>
      </w:pPr>
      <w:r>
        <w:rPr>
          <w:rFonts w:hint="eastAsia"/>
          <w:sz w:val="24"/>
        </w:rPr>
        <w:t>招标办公室负责人：                    经 办 人：</w:t>
      </w:r>
    </w:p>
    <w:p>
      <w:pPr>
        <w:adjustRightInd w:val="0"/>
        <w:snapToGrid w:val="0"/>
        <w:spacing w:line="480" w:lineRule="auto"/>
        <w:rPr>
          <w:sz w:val="24"/>
        </w:rPr>
      </w:pPr>
      <w:r>
        <w:rPr>
          <w:rFonts w:hint="eastAsia"/>
          <w:sz w:val="24"/>
        </w:rPr>
        <w:t>供应处部门</w:t>
      </w:r>
      <w:r>
        <w:rPr>
          <w:sz w:val="24"/>
        </w:rPr>
        <w:t>负责人：</w:t>
      </w:r>
    </w:p>
    <w:p>
      <w:pPr>
        <w:adjustRightInd w:val="0"/>
        <w:snapToGrid w:val="0"/>
        <w:spacing w:line="480" w:lineRule="auto"/>
        <w:rPr>
          <w:sz w:val="24"/>
        </w:rPr>
      </w:pPr>
      <w:r>
        <w:rPr>
          <w:rFonts w:hint="eastAsia"/>
          <w:sz w:val="24"/>
        </w:rPr>
        <w:t>供应处经办人：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经办人手机号：         </w:t>
      </w:r>
    </w:p>
    <w:p>
      <w:pPr>
        <w:adjustRightInd w:val="0"/>
        <w:snapToGrid w:val="0"/>
        <w:spacing w:line="360" w:lineRule="atLeast"/>
        <w:rPr>
          <w:sz w:val="24"/>
        </w:rPr>
      </w:pPr>
      <w:r>
        <w:rPr>
          <w:rFonts w:hint="eastAsia"/>
          <w:sz w:val="24"/>
        </w:rPr>
        <w:t>地    址：  济南文化西路107号</w:t>
      </w:r>
      <w:r>
        <w:rPr>
          <w:rFonts w:hint="eastAsia"/>
          <w:sz w:val="24"/>
        </w:rPr>
        <w:tab/>
      </w:r>
      <w:r>
        <w:rPr>
          <w:rFonts w:hint="eastAsia"/>
          <w:sz w:val="24"/>
        </w:rPr>
        <w:tab/>
      </w:r>
      <w:r>
        <w:rPr>
          <w:rFonts w:hint="eastAsia"/>
          <w:sz w:val="24"/>
        </w:rPr>
        <w:tab/>
      </w:r>
      <w:r>
        <w:rPr>
          <w:rFonts w:hint="eastAsia"/>
          <w:sz w:val="24"/>
        </w:rPr>
        <w:t>地    址：</w:t>
      </w:r>
    </w:p>
    <w:p>
      <w:pPr>
        <w:adjustRightInd w:val="0"/>
        <w:snapToGrid w:val="0"/>
        <w:spacing w:line="360" w:lineRule="atLeast"/>
        <w:rPr>
          <w:sz w:val="24"/>
        </w:rPr>
      </w:pPr>
      <w:r>
        <w:rPr>
          <w:rFonts w:hint="eastAsia"/>
          <w:sz w:val="24"/>
        </w:rPr>
        <w:t>邮政编码：      250012</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邮政编码：</w:t>
      </w:r>
    </w:p>
    <w:p>
      <w:pPr>
        <w:adjustRightInd w:val="0"/>
        <w:snapToGrid w:val="0"/>
        <w:spacing w:line="360" w:lineRule="atLeast"/>
        <w:rPr>
          <w:sz w:val="24"/>
        </w:rPr>
      </w:pPr>
      <w:r>
        <w:rPr>
          <w:rFonts w:hint="eastAsia"/>
          <w:sz w:val="24"/>
        </w:rPr>
        <w:t>电    话：    0531-82169126</w:t>
      </w:r>
      <w:r>
        <w:rPr>
          <w:rFonts w:hint="eastAsia"/>
          <w:sz w:val="24"/>
        </w:rPr>
        <w:tab/>
      </w:r>
      <w:r>
        <w:rPr>
          <w:rFonts w:hint="eastAsia"/>
          <w:sz w:val="24"/>
        </w:rPr>
        <w:tab/>
      </w:r>
      <w:r>
        <w:rPr>
          <w:rFonts w:hint="eastAsia"/>
          <w:sz w:val="24"/>
        </w:rPr>
        <w:tab/>
      </w:r>
      <w:r>
        <w:rPr>
          <w:rFonts w:hint="eastAsia"/>
          <w:sz w:val="24"/>
        </w:rPr>
        <w:tab/>
      </w:r>
      <w:r>
        <w:rPr>
          <w:rFonts w:hint="eastAsia"/>
          <w:sz w:val="24"/>
        </w:rPr>
        <w:t>电    话：</w:t>
      </w:r>
    </w:p>
    <w:p>
      <w:pPr>
        <w:adjustRightInd w:val="0"/>
        <w:snapToGrid w:val="0"/>
        <w:spacing w:line="360" w:lineRule="atLeast"/>
        <w:rPr>
          <w:sz w:val="24"/>
        </w:rPr>
      </w:pPr>
      <w:r>
        <w:rPr>
          <w:rFonts w:hint="eastAsia"/>
          <w:sz w:val="24"/>
        </w:rPr>
        <w:t>开户单位：</w:t>
      </w:r>
      <w:r>
        <w:rPr>
          <w:rFonts w:hint="eastAsia"/>
          <w:sz w:val="24"/>
        </w:rPr>
        <w:tab/>
      </w:r>
      <w:r>
        <w:rPr>
          <w:rFonts w:hint="eastAsia"/>
          <w:sz w:val="24"/>
        </w:rPr>
        <w:t>山东大学齐鲁医院</w:t>
      </w:r>
      <w:r>
        <w:rPr>
          <w:rFonts w:hint="eastAsia"/>
          <w:sz w:val="24"/>
        </w:rPr>
        <w:tab/>
      </w:r>
      <w:r>
        <w:rPr>
          <w:rFonts w:hint="eastAsia"/>
          <w:sz w:val="24"/>
        </w:rPr>
        <w:tab/>
      </w:r>
      <w:r>
        <w:rPr>
          <w:rFonts w:hint="eastAsia"/>
          <w:sz w:val="24"/>
        </w:rPr>
        <w:tab/>
      </w:r>
      <w:r>
        <w:rPr>
          <w:rFonts w:hint="eastAsia"/>
          <w:sz w:val="24"/>
        </w:rPr>
        <w:tab/>
      </w:r>
      <w:r>
        <w:rPr>
          <w:rFonts w:hint="eastAsia"/>
          <w:sz w:val="24"/>
        </w:rPr>
        <w:t>开户单位：</w:t>
      </w:r>
    </w:p>
    <w:p>
      <w:pPr>
        <w:adjustRightInd w:val="0"/>
        <w:snapToGrid w:val="0"/>
        <w:spacing w:line="360" w:lineRule="atLeast"/>
        <w:rPr>
          <w:sz w:val="24"/>
        </w:rPr>
      </w:pPr>
      <w:r>
        <w:rPr>
          <w:rFonts w:hint="eastAsia"/>
          <w:sz w:val="24"/>
        </w:rPr>
        <w:t>开户银行：工行济南历下支行             开户银行：</w:t>
      </w:r>
    </w:p>
    <w:p>
      <w:pPr>
        <w:adjustRightInd w:val="0"/>
        <w:snapToGrid w:val="0"/>
        <w:spacing w:line="360" w:lineRule="atLeast"/>
        <w:rPr>
          <w:sz w:val="24"/>
        </w:rPr>
      </w:pPr>
      <w:r>
        <w:rPr>
          <w:rFonts w:hint="eastAsia"/>
          <w:sz w:val="24"/>
        </w:rPr>
        <w:t>帐    号：</w:t>
      </w:r>
      <w:r>
        <w:rPr>
          <w:rFonts w:hint="eastAsia"/>
          <w:sz w:val="24"/>
        </w:rPr>
        <w:tab/>
      </w:r>
      <w:r>
        <w:rPr>
          <w:rFonts w:hint="eastAsia"/>
          <w:sz w:val="24"/>
        </w:rPr>
        <w:t>1602003009026402897</w:t>
      </w:r>
      <w:r>
        <w:rPr>
          <w:rFonts w:hint="eastAsia"/>
          <w:sz w:val="24"/>
        </w:rPr>
        <w:tab/>
      </w:r>
      <w:r>
        <w:rPr>
          <w:rFonts w:hint="eastAsia"/>
          <w:sz w:val="24"/>
        </w:rPr>
        <w:tab/>
      </w:r>
      <w:r>
        <w:rPr>
          <w:rFonts w:hint="eastAsia"/>
          <w:sz w:val="24"/>
        </w:rPr>
        <w:tab/>
      </w:r>
      <w:r>
        <w:rPr>
          <w:rFonts w:hint="eastAsia"/>
          <w:sz w:val="24"/>
        </w:rPr>
        <w:t xml:space="preserve">帐    号： </w:t>
      </w:r>
    </w:p>
    <w:p>
      <w:pPr>
        <w:adjustRightInd w:val="0"/>
        <w:snapToGrid w:val="0"/>
        <w:spacing w:line="360" w:lineRule="atLeast"/>
        <w:rPr>
          <w:sz w:val="24"/>
        </w:rPr>
      </w:pPr>
      <w:r>
        <w:rPr>
          <w:rFonts w:hint="eastAsia" w:ascii="新宋体" w:hAnsi="新宋体" w:eastAsia="新宋体" w:cs="新宋体"/>
          <w:sz w:val="24"/>
          <w:lang w:val="en-US" w:eastAsia="zh-CN"/>
        </w:rPr>
        <w:t>协议</w:t>
      </w:r>
      <w:r>
        <w:rPr>
          <w:rFonts w:hint="eastAsia"/>
          <w:sz w:val="24"/>
        </w:rPr>
        <w:t>签订时间:202</w:t>
      </w:r>
      <w:r>
        <w:rPr>
          <w:rFonts w:hint="eastAsia"/>
          <w:sz w:val="24"/>
          <w:lang w:val="en-US" w:eastAsia="zh-CN"/>
        </w:rPr>
        <w:t>4</w:t>
      </w:r>
      <w:r>
        <w:rPr>
          <w:rFonts w:hint="eastAsia"/>
          <w:sz w:val="24"/>
        </w:rPr>
        <w:t xml:space="preserve">年   月   日         </w:t>
      </w:r>
      <w:r>
        <w:rPr>
          <w:rFonts w:hint="eastAsia" w:ascii="新宋体" w:hAnsi="新宋体" w:eastAsia="新宋体" w:cs="新宋体"/>
          <w:sz w:val="24"/>
          <w:lang w:val="en-US" w:eastAsia="zh-CN"/>
        </w:rPr>
        <w:t>协议</w:t>
      </w:r>
      <w:r>
        <w:rPr>
          <w:rFonts w:hint="eastAsia"/>
          <w:sz w:val="24"/>
        </w:rPr>
        <w:t>签订时间:202</w:t>
      </w:r>
      <w:r>
        <w:rPr>
          <w:rFonts w:hint="eastAsia"/>
          <w:sz w:val="24"/>
          <w:lang w:val="en-US" w:eastAsia="zh-CN"/>
        </w:rPr>
        <w:t>4</w:t>
      </w:r>
      <w:r>
        <w:rPr>
          <w:rFonts w:hint="eastAsia"/>
          <w:sz w:val="24"/>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449EB"/>
    <w:multiLevelType w:val="multilevel"/>
    <w:tmpl w:val="2C0449EB"/>
    <w:lvl w:ilvl="0" w:tentative="0">
      <w:start w:val="1"/>
      <w:numFmt w:val="japaneseCounting"/>
      <w:lvlText w:val="第%1条"/>
      <w:lvlJc w:val="left"/>
      <w:pPr>
        <w:tabs>
          <w:tab w:val="left" w:pos="1395"/>
        </w:tabs>
        <w:ind w:left="1395" w:hanging="945"/>
      </w:pPr>
      <w:rPr>
        <w:rFonts w:hint="eastAsia"/>
        <w:sz w:val="24"/>
        <w:lang w:val="en-US"/>
      </w:rPr>
    </w:lvl>
    <w:lvl w:ilvl="1" w:tentative="0">
      <w:start w:val="1"/>
      <w:numFmt w:val="decimal"/>
      <w:lvlText w:val="%2．"/>
      <w:lvlJc w:val="left"/>
      <w:pPr>
        <w:tabs>
          <w:tab w:val="left" w:pos="1230"/>
        </w:tabs>
        <w:ind w:left="1230" w:hanging="360"/>
      </w:pPr>
      <w:rPr>
        <w:rFonts w:hint="eastAsia"/>
      </w:r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1">
    <w:nsid w:val="4C744904"/>
    <w:multiLevelType w:val="multilevel"/>
    <w:tmpl w:val="4C744904"/>
    <w:lvl w:ilvl="0" w:tentative="0">
      <w:start w:val="4"/>
      <w:numFmt w:val="decimal"/>
      <w:lvlText w:val="%1."/>
      <w:lvlJc w:val="left"/>
      <w:pPr>
        <w:tabs>
          <w:tab w:val="left" w:pos="1230"/>
        </w:tabs>
        <w:ind w:left="1230" w:hanging="360"/>
      </w:pPr>
      <w:rPr>
        <w:rFonts w:hint="default"/>
      </w:rPr>
    </w:lvl>
    <w:lvl w:ilvl="1" w:tentative="0">
      <w:start w:val="1"/>
      <w:numFmt w:val="lowerLetter"/>
      <w:lvlText w:val="%2)"/>
      <w:lvlJc w:val="left"/>
      <w:pPr>
        <w:tabs>
          <w:tab w:val="left" w:pos="1710"/>
        </w:tabs>
        <w:ind w:left="1710" w:hanging="420"/>
      </w:pPr>
    </w:lvl>
    <w:lvl w:ilvl="2" w:tentative="0">
      <w:start w:val="1"/>
      <w:numFmt w:val="lowerRoman"/>
      <w:lvlText w:val="%3."/>
      <w:lvlJc w:val="right"/>
      <w:pPr>
        <w:tabs>
          <w:tab w:val="left" w:pos="2130"/>
        </w:tabs>
        <w:ind w:left="2130" w:hanging="420"/>
      </w:pPr>
    </w:lvl>
    <w:lvl w:ilvl="3" w:tentative="0">
      <w:start w:val="1"/>
      <w:numFmt w:val="decimal"/>
      <w:lvlText w:val="%4."/>
      <w:lvlJc w:val="left"/>
      <w:pPr>
        <w:tabs>
          <w:tab w:val="left" w:pos="2550"/>
        </w:tabs>
        <w:ind w:left="2550" w:hanging="420"/>
      </w:pPr>
    </w:lvl>
    <w:lvl w:ilvl="4" w:tentative="0">
      <w:start w:val="1"/>
      <w:numFmt w:val="lowerLetter"/>
      <w:lvlText w:val="%5)"/>
      <w:lvlJc w:val="left"/>
      <w:pPr>
        <w:tabs>
          <w:tab w:val="left" w:pos="2970"/>
        </w:tabs>
        <w:ind w:left="2970" w:hanging="420"/>
      </w:pPr>
    </w:lvl>
    <w:lvl w:ilvl="5" w:tentative="0">
      <w:start w:val="1"/>
      <w:numFmt w:val="lowerRoman"/>
      <w:lvlText w:val="%6."/>
      <w:lvlJc w:val="right"/>
      <w:pPr>
        <w:tabs>
          <w:tab w:val="left" w:pos="3390"/>
        </w:tabs>
        <w:ind w:left="3390" w:hanging="420"/>
      </w:pPr>
    </w:lvl>
    <w:lvl w:ilvl="6" w:tentative="0">
      <w:start w:val="1"/>
      <w:numFmt w:val="decimal"/>
      <w:lvlText w:val="%7."/>
      <w:lvlJc w:val="left"/>
      <w:pPr>
        <w:tabs>
          <w:tab w:val="left" w:pos="3810"/>
        </w:tabs>
        <w:ind w:left="3810" w:hanging="420"/>
      </w:pPr>
    </w:lvl>
    <w:lvl w:ilvl="7" w:tentative="0">
      <w:start w:val="1"/>
      <w:numFmt w:val="lowerLetter"/>
      <w:lvlText w:val="%8)"/>
      <w:lvlJc w:val="left"/>
      <w:pPr>
        <w:tabs>
          <w:tab w:val="left" w:pos="4230"/>
        </w:tabs>
        <w:ind w:left="4230" w:hanging="420"/>
      </w:pPr>
    </w:lvl>
    <w:lvl w:ilvl="8" w:tentative="0">
      <w:start w:val="1"/>
      <w:numFmt w:val="lowerRoman"/>
      <w:lvlText w:val="%9."/>
      <w:lvlJc w:val="right"/>
      <w:pPr>
        <w:tabs>
          <w:tab w:val="left" w:pos="4650"/>
        </w:tabs>
        <w:ind w:left="46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YmFlNzcwNTVjODA2NDViYzQwZjMwNDQzMDc4OGUifQ=="/>
    <w:docVar w:name="KY_MEDREF_DOCUID" w:val="{06B16C0E-86C1-43B2-AB0E-00CB566E612F}"/>
    <w:docVar w:name="KY_MEDREF_VERSION" w:val="3"/>
  </w:docVars>
  <w:rsids>
    <w:rsidRoot w:val="03A509DF"/>
    <w:rsid w:val="000A159B"/>
    <w:rsid w:val="007A1163"/>
    <w:rsid w:val="0097713A"/>
    <w:rsid w:val="03A509DF"/>
    <w:rsid w:val="0C8B2A88"/>
    <w:rsid w:val="101008FD"/>
    <w:rsid w:val="14122F28"/>
    <w:rsid w:val="27822A1D"/>
    <w:rsid w:val="2DA9090A"/>
    <w:rsid w:val="32667F0F"/>
    <w:rsid w:val="32B75138"/>
    <w:rsid w:val="53851526"/>
    <w:rsid w:val="56DE6CCC"/>
    <w:rsid w:val="5C6768A4"/>
    <w:rsid w:val="73007180"/>
    <w:rsid w:val="761B49FD"/>
    <w:rsid w:val="7A95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402</Words>
  <Characters>2293</Characters>
  <Lines>19</Lines>
  <Paragraphs>5</Paragraphs>
  <TotalTime>0</TotalTime>
  <ScaleCrop>false</ScaleCrop>
  <LinksUpToDate>false</LinksUpToDate>
  <CharactersWithSpaces>2690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2022-06-27T05:50:00Z</dcterms:created>
  <dc:creator>万齐越</dc:creator>
  <cp:lastModifiedBy>Kitty.Zhang</cp:lastModifiedBy>
  <dcterms:modified xsi:type="dcterms:W3CDTF">2023-12-18T01:00:16Z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49C3F5B56FBD4EEE88CC64A61C10F3F7</vt:lpwstr>
  </property>
</Properties>
</file>