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center"/>
        <w:textAlignment w:val="auto"/>
        <w:outlineLvl w:val="0"/>
        <w:rPr>
          <w:rFonts w:hint="eastAsia" w:ascii="Calibri" w:hAnsi="Calibri" w:eastAsia="黑体" w:cs="Times New Roman"/>
          <w:b w:val="0"/>
          <w:bCs/>
          <w:kern w:val="44"/>
          <w:sz w:val="22"/>
          <w:szCs w:val="20"/>
          <w:lang w:val="en-US" w:eastAsia="zh-CN" w:bidi="ar-SA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center"/>
        <w:textAlignment w:val="auto"/>
        <w:outlineLvl w:val="0"/>
        <w:rPr>
          <w:rFonts w:hint="eastAsia" w:ascii="Calibri" w:hAnsi="Calibri" w:eastAsia="黑体" w:cs="Times New Roman"/>
          <w:b w:val="0"/>
          <w:bCs/>
          <w:kern w:val="44"/>
          <w:sz w:val="30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 w:val="0"/>
          <w:bCs/>
          <w:color w:val="auto"/>
          <w:kern w:val="44"/>
          <w:sz w:val="28"/>
          <w:szCs w:val="2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7931785</wp:posOffset>
            </wp:positionH>
            <wp:positionV relativeFrom="paragraph">
              <wp:posOffset>-601345</wp:posOffset>
            </wp:positionV>
            <wp:extent cx="1303655" cy="992505"/>
            <wp:effectExtent l="0" t="0" r="10795" b="17145"/>
            <wp:wrapNone/>
            <wp:docPr id="13" name="图片 13" descr="170236762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02367625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黑体" w:cs="Times New Roman"/>
          <w:b w:val="0"/>
          <w:bCs/>
          <w:kern w:val="44"/>
          <w:sz w:val="30"/>
          <w:szCs w:val="24"/>
          <w:lang w:val="en-US" w:eastAsia="zh-CN" w:bidi="ar-SA"/>
        </w:rPr>
        <w:t>附表2</w:t>
      </w:r>
      <w:bookmarkStart w:id="0" w:name="_GoBack"/>
      <w:bookmarkEnd w:id="0"/>
      <w:r>
        <w:rPr>
          <w:rFonts w:hint="eastAsia" w:ascii="Calibri" w:hAnsi="Calibri" w:eastAsia="黑体" w:cs="Times New Roman"/>
          <w:b w:val="0"/>
          <w:bCs/>
          <w:kern w:val="44"/>
          <w:sz w:val="30"/>
          <w:szCs w:val="24"/>
          <w:lang w:val="en-US" w:eastAsia="zh-CN" w:bidi="ar-SA"/>
        </w:rPr>
        <w:t xml:space="preserve">   多重耐药菌感染或定植患者防控措施依从性查检表</w:t>
      </w:r>
    </w:p>
    <w:tbl>
      <w:tblPr>
        <w:tblStyle w:val="6"/>
        <w:tblW w:w="15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8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55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2"/>
                <w:szCs w:val="22"/>
              </w:rPr>
              <w:t>患者隔离防控具体措施</w:t>
            </w:r>
          </w:p>
        </w:tc>
        <w:tc>
          <w:tcPr>
            <w:tcW w:w="8726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Calibri" w:hAnsi="Calibri" w:eastAsia="宋体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2"/>
                <w:szCs w:val="22"/>
              </w:rPr>
              <w:t>病历号/姓名</w:t>
            </w:r>
            <w:r>
              <w:rPr>
                <w:rFonts w:hint="eastAsia" w:ascii="Calibri" w:hAnsi="Calibri" w:eastAsia="宋体" w:cs="Times New Roman"/>
                <w:b/>
                <w:bCs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55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Calibri" w:hAnsi="Calibri" w:eastAsia="宋体" w:cs="Times New Roman"/>
                <w:sz w:val="22"/>
                <w:szCs w:val="22"/>
              </w:rPr>
            </w:pPr>
          </w:p>
        </w:tc>
        <w:tc>
          <w:tcPr>
            <w:tcW w:w="1454" w:type="dxa"/>
            <w:gridSpan w:val="2"/>
            <w:shd w:val="clear" w:color="auto" w:fill="B4C6E7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454" w:type="dxa"/>
            <w:gridSpan w:val="2"/>
            <w:shd w:val="clear" w:color="auto" w:fill="B4C6E7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454" w:type="dxa"/>
            <w:gridSpan w:val="2"/>
            <w:shd w:val="clear" w:color="auto" w:fill="B4C6E7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55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Calibri" w:hAnsi="Calibri" w:eastAsia="宋体" w:cs="Times New Roman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B4C6E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727" w:type="dxa"/>
            <w:shd w:val="clear" w:color="auto" w:fill="B4C6E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727" w:type="dxa"/>
            <w:shd w:val="clear" w:color="auto" w:fill="B4C6E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727" w:type="dxa"/>
            <w:shd w:val="clear" w:color="auto" w:fill="B4C6E7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727" w:type="dxa"/>
            <w:shd w:val="clear" w:color="auto" w:fill="B4C6E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727" w:type="dxa"/>
            <w:shd w:val="clear" w:color="auto" w:fill="B4C6E7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7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1.单间隔离或同种病原体感染收治一室，床边悬挂隔离标识；条件限制时实施床旁隔离。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2.主管医生下接触隔离医嘱，通知所有医护人员、护工等，知晓并落实隔离措施。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3.对患者、家属及陪护人员进行宣教。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4.遵循《抗菌药物临床应用指导原则》，合理选用抗菌药物。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5.患者床边备快速手消毒剂，严格手卫生，接触患者的伤口、溃烂面、粘膜、血液、体液、引流液、分泌物、排泄物时，戴手套。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6.可能污染工作服时穿隔离衣，并正确穿脱。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7.严格遵守无菌技术操作规程。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8.患者所有诊疗护理操作安排至最后进行。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9.诊疗物品专人专用，及时消毒处理。不能专人专用的，每次使用后清洁消毒。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10.清洁用具专用，患者周围环境、地面、物品表面每天清洁消毒&gt;2次，并有记录。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11.密闭容器运送标本。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12.限制患者转运或移动，必须转运应通知接收科室做好隔离措施。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13.感染症状和体征好转后，主管医生评估病情后解除隔离。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14.医疗废物、医用织物规范处置。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558" w:type="dxa"/>
            <w:vAlign w:val="center"/>
          </w:tcPr>
          <w:p>
            <w:pPr>
              <w:adjustRightInd w:val="0"/>
              <w:jc w:val="center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2"/>
              </w:rPr>
              <w:t>应执行次数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558" w:type="dxa"/>
            <w:vAlign w:val="center"/>
          </w:tcPr>
          <w:p>
            <w:pPr>
              <w:adjustRightInd w:val="0"/>
              <w:jc w:val="center"/>
              <w:rPr>
                <w:rFonts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2"/>
              </w:rPr>
              <w:t>实际执行次数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ind w:firstLine="297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ind w:firstLine="297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55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依从率=实际执行次数/应执行次数*100%</w:t>
            </w: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  <w:shd w:val="clear" w:color="auto" w:fill="B4C6E7"/>
          </w:tcPr>
          <w:p>
            <w:pPr>
              <w:spacing w:line="440" w:lineRule="exac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7" w:type="dxa"/>
          </w:tcPr>
          <w:p>
            <w:pPr>
              <w:spacing w:line="440" w:lineRule="exact"/>
              <w:ind w:firstLine="297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40" w:lineRule="exact"/>
              <w:ind w:firstLine="297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  <w:r>
        <w:rPr>
          <w:rFonts w:hint="eastAsia" w:ascii="Calibri" w:hAnsi="Calibri" w:eastAsia="宋体" w:cs="Times New Roman"/>
          <w:b/>
          <w:bCs/>
        </w:rPr>
        <w:t>多重耐药菌检出时，科室开始进行耐药菌防控措施依从性监测，于第</w:t>
      </w:r>
      <w:r>
        <w:rPr>
          <w:rFonts w:hint="eastAsia" w:ascii="Calibri" w:hAnsi="Calibri" w:eastAsia="宋体" w:cs="Times New Roman"/>
          <w:b/>
          <w:bCs/>
          <w:lang w:val="en-US" w:eastAsia="zh-CN"/>
        </w:rPr>
        <w:t>1</w:t>
      </w:r>
      <w:r>
        <w:rPr>
          <w:rFonts w:hint="eastAsia" w:ascii="Calibri" w:hAnsi="Calibri" w:eastAsia="宋体" w:cs="Times New Roman"/>
          <w:b/>
          <w:bCs/>
        </w:rPr>
        <w:t>日记录相关措施依从性，于解除隔离当日统计隔离期间相关措施的依从性，最后进行加和汇总</w:t>
      </w:r>
      <w:r>
        <w:rPr>
          <w:rFonts w:hint="eastAsia" w:ascii="Calibri" w:hAnsi="Calibri" w:eastAsia="宋体" w:cs="Times New Roman"/>
          <w:b/>
          <w:bCs/>
          <w:lang w:eastAsia="zh-CN"/>
        </w:rPr>
        <w:t>。</w:t>
      </w:r>
    </w:p>
    <w:sectPr>
      <w:pgSz w:w="16838" w:h="11906" w:orient="landscape"/>
      <w:pgMar w:top="850" w:right="873" w:bottom="567" w:left="873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WM5MDA0MmRjNzE2YmQwNGUzZGMyNzI1Yzk1MjAifQ=="/>
  </w:docVars>
  <w:rsids>
    <w:rsidRoot w:val="00000000"/>
    <w:rsid w:val="3FC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2024-01-03T07:23:49Z</dcterms:created>
  <dc:creator>persh</dc:creator>
  <cp:lastModifiedBy>游游</cp:lastModifiedBy>
  <dcterms:modified xsi:type="dcterms:W3CDTF">2024-01-03T07:32:34Z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9A7555B2149C4C69B3E8AACDCBE8BB65_12</vt:lpwstr>
  </property>
</Properties>
</file>