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center"/>
        <w:textAlignment w:val="auto"/>
        <w:outlineLvl w:val="0"/>
        <w:rPr>
          <w:rFonts w:hint="default" w:ascii="Calibri" w:hAnsi="Calibri" w:eastAsia="黑体" w:cs="Times New Roman"/>
          <w:b/>
          <w:kern w:val="44"/>
          <w:sz w:val="30"/>
          <w:szCs w:val="24"/>
          <w:lang w:val="en-US" w:eastAsia="zh-CN" w:bidi="ar-SA"/>
        </w:rPr>
      </w:pPr>
      <w:bookmarkStart w:id="0" w:name="_Toc15581"/>
      <w:bookmarkStart w:id="1" w:name="_Toc13662"/>
      <w:r>
        <w:rPr>
          <w:rFonts w:hint="default" w:ascii="Calibri" w:hAnsi="Calibri" w:eastAsia="黑体" w:cs="Times New Roman"/>
          <w:b/>
          <w:bCs/>
          <w:color w:val="auto"/>
          <w:kern w:val="44"/>
          <w:sz w:val="21"/>
          <w:szCs w:val="18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8334375</wp:posOffset>
            </wp:positionH>
            <wp:positionV relativeFrom="paragraph">
              <wp:posOffset>-447675</wp:posOffset>
            </wp:positionV>
            <wp:extent cx="1043305" cy="807085"/>
            <wp:effectExtent l="0" t="0" r="4445" b="12065"/>
            <wp:wrapNone/>
            <wp:docPr id="22" name="图片 22" descr="1704679747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046797474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黑体" w:cs="Times New Roman"/>
          <w:b w:val="0"/>
          <w:bCs/>
          <w:kern w:val="44"/>
          <w:sz w:val="30"/>
          <w:szCs w:val="24"/>
          <w:lang w:val="en-US" w:eastAsia="zh-CN" w:bidi="ar-SA"/>
        </w:rPr>
        <w:t>附表2   多重耐药菌感染或定植患者防控措施依从性查检表</w:t>
      </w:r>
      <w:bookmarkEnd w:id="0"/>
      <w:bookmarkEnd w:id="1"/>
    </w:p>
    <w:tbl>
      <w:tblPr>
        <w:tblStyle w:val="5"/>
        <w:tblW w:w="15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  <w:gridCol w:w="640"/>
        <w:gridCol w:w="642"/>
        <w:gridCol w:w="640"/>
        <w:gridCol w:w="642"/>
        <w:gridCol w:w="640"/>
        <w:gridCol w:w="642"/>
        <w:gridCol w:w="640"/>
        <w:gridCol w:w="642"/>
        <w:gridCol w:w="640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2"/>
                <w:szCs w:val="22"/>
              </w:rPr>
              <w:t>患者隔离防控具体措施</w:t>
            </w:r>
          </w:p>
        </w:tc>
        <w:tc>
          <w:tcPr>
            <w:tcW w:w="6415" w:type="dxa"/>
            <w:gridSpan w:val="10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病历号/姓名                                         是否为CRE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282" w:type="dxa"/>
            <w:gridSpan w:val="2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  <w:tc>
          <w:tcPr>
            <w:tcW w:w="1287" w:type="dxa"/>
            <w:gridSpan w:val="2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642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640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642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  <w:tc>
          <w:tcPr>
            <w:tcW w:w="640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应执</w:t>
            </w:r>
          </w:p>
        </w:tc>
        <w:tc>
          <w:tcPr>
            <w:tcW w:w="647" w:type="dxa"/>
            <w:shd w:val="clear" w:color="auto" w:fill="B4C6E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64" w:type="dxa"/>
            <w:shd w:val="clear" w:color="auto" w:fill="CFCE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1.单间隔离或同种病原体感染收治一室，床边悬挂隔离标识；条件限制时实施床旁隔离。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住院期间监测一次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64" w:type="dxa"/>
            <w:shd w:val="clear" w:color="auto" w:fill="CFCE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2.主管医生下接触隔离医嘱，通知所有医护人员、护工等，知晓并落实隔离措施。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住院期间监测一次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shd w:val="clear" w:color="auto" w:fill="CFCE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3.对患者、家属及陪护人员进行宣教。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住院期间监测一次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shd w:val="clear" w:color="auto" w:fill="CFCEC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.连续两次采样阴性，且采样时间相隔24h或以上，可解除隔离。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住院期间监测一次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.遵循《抗菌药物临床应用指导原则》，合理选用抗菌药物。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.患者床边备快速手消毒剂，严格手卫生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做好个人防护：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接触患者的伤口、溃烂面、粘膜、血液、体液、引流液、分泌物、排泄物时，戴手套。可能污染工作服时穿隔离衣，并正确穿脱。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.严格遵守无菌技术操作规程。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.患者所有诊疗护理操作安排至最后进行。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.诊疗物品专人专用，及时消毒处理。不能专人专用的，每次使用后清洁消毒。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.清洁用具专用，患者周围环境、地面、物品表面每天清洁消毒&gt;2次，并有记录。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.密闭容器运送标本。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.限制患者转运或移动，必须转运应通知接收科室做好隔离措施。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14.医疗废物、医用织物规范处置。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2"/>
              </w:rPr>
              <w:t>应执行次数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2"/>
              </w:rPr>
              <w:t>实际执行次数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依从率=实际执行次数/应执行次数*100%</w:t>
            </w: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0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647" w:type="dxa"/>
            <w:shd w:val="clear" w:color="auto" w:fill="B4C6E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0"/>
          <w:szCs w:val="22"/>
        </w:rPr>
      </w:pPr>
      <w:r>
        <w:rPr>
          <w:rFonts w:hint="eastAsia" w:ascii="Calibri" w:hAnsi="Calibri" w:eastAsia="宋体" w:cs="Times New Roman"/>
          <w:b w:val="0"/>
          <w:bCs w:val="0"/>
          <w:sz w:val="18"/>
          <w:szCs w:val="21"/>
          <w:lang w:val="en-US" w:eastAsia="zh-CN"/>
        </w:rPr>
        <w:t>①针对耐碳青霉烯肺炎克雷伯菌（CRKP）、耐碳青霉烯大肠埃希菌（CREC）、耐碳青霉烯鲍曼不动杆菌（CRAB）、耐碳青霉烯铜绿假单胞菌（CRPA）、耐甲氧西林金黄色葡萄球菌（MRSA）、耐万古霉素肠球菌（VRE）进行监测，碳青霉烯类耐药肠杆菌（CRE）患者必须进行监测。②本季度多重耐药菌检出人数≤15人时，全部进行监测；大于15人时，监测人数不少于总数的30%，且不少于15人。③多重耐药菌检出时，</w:t>
      </w:r>
      <w:r>
        <w:rPr>
          <w:rFonts w:hint="eastAsia" w:ascii="Calibri" w:hAnsi="Calibri" w:eastAsia="宋体" w:cs="Times New Roman"/>
          <w:b w:val="0"/>
          <w:bCs w:val="0"/>
          <w:sz w:val="18"/>
          <w:szCs w:val="21"/>
        </w:rPr>
        <w:t>于第</w:t>
      </w:r>
      <w:r>
        <w:rPr>
          <w:rFonts w:hint="eastAsia" w:ascii="Calibri" w:hAnsi="Calibri" w:eastAsia="宋体" w:cs="Times New Roman"/>
          <w:b w:val="0"/>
          <w:bCs w:val="0"/>
          <w:sz w:val="18"/>
          <w:szCs w:val="21"/>
          <w:lang w:val="en-US" w:eastAsia="zh-CN"/>
        </w:rPr>
        <w:t>1</w:t>
      </w:r>
      <w:r>
        <w:rPr>
          <w:rFonts w:hint="eastAsia" w:ascii="Calibri" w:hAnsi="Calibri" w:eastAsia="宋体" w:cs="Times New Roman"/>
          <w:b w:val="0"/>
          <w:bCs w:val="0"/>
          <w:sz w:val="18"/>
          <w:szCs w:val="21"/>
        </w:rPr>
        <w:t>日记录相关措施依从性，于解除隔离当日统计隔离期间</w:t>
      </w:r>
      <w:r>
        <w:rPr>
          <w:rFonts w:hint="eastAsia" w:ascii="Calibri" w:hAnsi="Calibri" w:eastAsia="宋体" w:cs="Times New Roman"/>
          <w:b w:val="0"/>
          <w:bCs w:val="0"/>
          <w:sz w:val="18"/>
          <w:szCs w:val="21"/>
          <w:lang w:val="en-US" w:eastAsia="zh-CN"/>
        </w:rPr>
        <w:t>所有</w:t>
      </w:r>
      <w:r>
        <w:rPr>
          <w:rFonts w:hint="eastAsia" w:ascii="Calibri" w:hAnsi="Calibri" w:eastAsia="宋体" w:cs="Times New Roman"/>
          <w:b w:val="0"/>
          <w:bCs w:val="0"/>
          <w:sz w:val="18"/>
          <w:szCs w:val="21"/>
        </w:rPr>
        <w:t>相关措施</w:t>
      </w:r>
      <w:bookmarkStart w:id="2" w:name="_GoBack"/>
      <w:bookmarkEnd w:id="2"/>
      <w:r>
        <w:rPr>
          <w:rFonts w:hint="eastAsia" w:ascii="Calibri" w:hAnsi="Calibri" w:eastAsia="宋体" w:cs="Times New Roman"/>
          <w:b w:val="0"/>
          <w:bCs w:val="0"/>
          <w:sz w:val="18"/>
          <w:szCs w:val="21"/>
        </w:rPr>
        <w:t>的依从性，最后进行加和汇总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18"/>
          <w:szCs w:val="21"/>
          <w:highlight w:val="none"/>
        </w:rPr>
        <w:t>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YmNkZmY3OWE5YzQwNTc4MmRkYjgyNmRiMTQ3OWMifQ=="/>
  </w:docVars>
  <w:rsids>
    <w:rsidRoot w:val="00000000"/>
    <w:rsid w:val="0025187B"/>
    <w:rsid w:val="061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2024-04-16T06:52:00Z</dcterms:created>
  <dc:creator>persh</dc:creator>
  <cp:lastModifiedBy>管理员</cp:lastModifiedBy>
  <dcterms:modified xsi:type="dcterms:W3CDTF">2024-04-16T07:08:21Z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9AEE5E3A18144A8EB620195F61114686_12</vt:lpwstr>
  </property>
</Properties>
</file>