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b/>
          <w:bCs w:val="0"/>
          <w:color w:val="000000"/>
          <w:sz w:val="28"/>
          <w:szCs w:val="28"/>
        </w:rPr>
      </w:pPr>
      <w:r>
        <w:rPr>
          <w:rFonts w:hint="eastAsia" w:ascii="仿宋" w:hAnsi="仿宋" w:eastAsia="仿宋"/>
          <w:b/>
          <w:bCs w:val="0"/>
          <w:color w:val="000000"/>
          <w:sz w:val="28"/>
          <w:szCs w:val="28"/>
        </w:rPr>
        <w:t>附件</w:t>
      </w:r>
      <w:r>
        <w:rPr>
          <w:rFonts w:hint="eastAsia" w:ascii="仿宋" w:hAnsi="仿宋" w:eastAsia="仿宋"/>
          <w:b/>
          <w:bCs w:val="0"/>
          <w:color w:val="000000"/>
          <w:sz w:val="28"/>
          <w:szCs w:val="28"/>
          <w:lang w:val="en-US" w:eastAsia="zh-CN"/>
        </w:rPr>
        <w:t>5</w:t>
      </w:r>
      <w:r>
        <w:rPr>
          <w:rFonts w:hint="eastAsia" w:ascii="仿宋" w:hAnsi="仿宋" w:eastAsia="仿宋"/>
          <w:b/>
          <w:bCs w:val="0"/>
          <w:color w:val="000000"/>
          <w:sz w:val="28"/>
          <w:szCs w:val="28"/>
        </w:rPr>
        <w:t>：</w:t>
      </w:r>
    </w:p>
    <w:p>
      <w:pPr>
        <w:spacing w:line="360" w:lineRule="auto"/>
        <w:jc w:val="center"/>
        <w:rPr>
          <w:rFonts w:hint="default" w:ascii="仿宋" w:hAnsi="仿宋" w:eastAsia="仿宋" w:cs="仿宋"/>
          <w:b/>
          <w:bCs w:val="0"/>
          <w:color w:val="000000"/>
          <w:sz w:val="44"/>
          <w:szCs w:val="44"/>
          <w:lang w:val="en-US" w:eastAsia="zh-CN"/>
        </w:rPr>
      </w:pPr>
      <w:r>
        <w:rPr>
          <w:rFonts w:hint="eastAsia" w:ascii="仿宋" w:hAnsi="仿宋" w:eastAsia="仿宋"/>
          <w:b/>
          <w:bCs w:val="0"/>
          <w:color w:val="000000"/>
          <w:sz w:val="44"/>
          <w:szCs w:val="44"/>
        </w:rPr>
        <w:t>商业补充医疗保险待遇</w:t>
      </w:r>
      <w:r>
        <w:rPr>
          <w:rFonts w:hint="eastAsia" w:ascii="仿宋" w:hAnsi="仿宋" w:eastAsia="仿宋"/>
          <w:b/>
          <w:bCs w:val="0"/>
          <w:color w:val="000000"/>
          <w:sz w:val="44"/>
          <w:szCs w:val="44"/>
          <w:lang w:eastAsia="zh-CN"/>
        </w:rPr>
        <w:t>（</w:t>
      </w:r>
      <w:r>
        <w:rPr>
          <w:rFonts w:hint="eastAsia" w:ascii="仿宋" w:hAnsi="仿宋" w:eastAsia="仿宋"/>
          <w:b/>
          <w:bCs w:val="0"/>
          <w:color w:val="000000"/>
          <w:sz w:val="44"/>
          <w:szCs w:val="44"/>
          <w:lang w:val="en-US" w:eastAsia="zh-CN"/>
        </w:rPr>
        <w:t>平安学平险）</w:t>
      </w:r>
    </w:p>
    <w:tbl>
      <w:tblPr>
        <w:tblStyle w:val="4"/>
        <w:tblpPr w:leftFromText="180" w:rightFromText="180" w:vertAnchor="text" w:tblpY="1"/>
        <w:tblOverlap w:val="never"/>
        <w:tblW w:w="4934" w:type="pct"/>
        <w:tblInd w:w="0" w:type="dxa"/>
        <w:tblLayout w:type="autofit"/>
        <w:tblCellMar>
          <w:top w:w="0" w:type="dxa"/>
          <w:left w:w="108" w:type="dxa"/>
          <w:bottom w:w="0" w:type="dxa"/>
          <w:right w:w="108" w:type="dxa"/>
        </w:tblCellMar>
      </w:tblPr>
      <w:tblGrid>
        <w:gridCol w:w="2271"/>
        <w:gridCol w:w="2676"/>
        <w:gridCol w:w="4664"/>
      </w:tblGrid>
      <w:tr>
        <w:tblPrEx>
          <w:tblCellMar>
            <w:top w:w="0" w:type="dxa"/>
            <w:left w:w="108" w:type="dxa"/>
            <w:bottom w:w="0" w:type="dxa"/>
            <w:right w:w="108" w:type="dxa"/>
          </w:tblCellMar>
        </w:tblPrEx>
        <w:trPr>
          <w:trHeight w:val="892" w:hRule="atLeast"/>
        </w:trPr>
        <w:tc>
          <w:tcPr>
            <w:tcW w:w="1181" w:type="pct"/>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保障项目</w:t>
            </w:r>
          </w:p>
        </w:tc>
        <w:tc>
          <w:tcPr>
            <w:tcW w:w="1392"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每年赔付限额</w:t>
            </w:r>
          </w:p>
        </w:tc>
        <w:tc>
          <w:tcPr>
            <w:tcW w:w="2426"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备注</w:t>
            </w:r>
          </w:p>
        </w:tc>
      </w:tr>
      <w:tr>
        <w:tblPrEx>
          <w:tblCellMar>
            <w:top w:w="0" w:type="dxa"/>
            <w:left w:w="108" w:type="dxa"/>
            <w:bottom w:w="0" w:type="dxa"/>
            <w:right w:w="108" w:type="dxa"/>
          </w:tblCellMar>
        </w:tblPrEx>
        <w:trPr>
          <w:trHeight w:val="571" w:hRule="atLeast"/>
        </w:trPr>
        <w:tc>
          <w:tcPr>
            <w:tcW w:w="1181"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意外身故保险金</w:t>
            </w:r>
          </w:p>
        </w:tc>
        <w:tc>
          <w:tcPr>
            <w:tcW w:w="1392"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最高30000元</w:t>
            </w:r>
          </w:p>
        </w:tc>
        <w:tc>
          <w:tcPr>
            <w:tcW w:w="2426" w:type="pct"/>
            <w:tcBorders>
              <w:top w:val="nil"/>
              <w:left w:val="nil"/>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详见责任描述</w:t>
            </w:r>
          </w:p>
        </w:tc>
      </w:tr>
      <w:tr>
        <w:tblPrEx>
          <w:tblCellMar>
            <w:top w:w="0" w:type="dxa"/>
            <w:left w:w="108" w:type="dxa"/>
            <w:bottom w:w="0" w:type="dxa"/>
            <w:right w:w="108" w:type="dxa"/>
          </w:tblCellMar>
        </w:tblPrEx>
        <w:trPr>
          <w:trHeight w:val="578" w:hRule="atLeast"/>
        </w:trPr>
        <w:tc>
          <w:tcPr>
            <w:tcW w:w="1181"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意外伤残保险金</w:t>
            </w:r>
          </w:p>
        </w:tc>
        <w:tc>
          <w:tcPr>
            <w:tcW w:w="1392" w:type="pct"/>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仿宋" w:hAnsi="仿宋" w:eastAsia="仿宋" w:cs="仿宋"/>
                <w:b w:val="0"/>
                <w:bCs/>
                <w:color w:val="000000"/>
                <w:kern w:val="0"/>
                <w:sz w:val="28"/>
                <w:szCs w:val="28"/>
              </w:rPr>
            </w:pPr>
          </w:p>
        </w:tc>
        <w:tc>
          <w:tcPr>
            <w:tcW w:w="2426" w:type="pct"/>
            <w:tcBorders>
              <w:top w:val="nil"/>
              <w:left w:val="nil"/>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根据《</w:t>
            </w:r>
            <w:r>
              <w:rPr>
                <w:rFonts w:hint="eastAsia" w:ascii="仿宋" w:hAnsi="仿宋" w:eastAsia="仿宋" w:cs="仿宋"/>
                <w:b w:val="0"/>
                <w:bCs/>
                <w:color w:val="000000"/>
                <w:sz w:val="28"/>
                <w:szCs w:val="28"/>
              </w:rPr>
              <w:t>人身保险伤残评定标准及代码</w:t>
            </w:r>
            <w:r>
              <w:rPr>
                <w:rFonts w:hint="eastAsia" w:ascii="仿宋" w:hAnsi="仿宋" w:eastAsia="仿宋" w:cs="仿宋"/>
                <w:b w:val="0"/>
                <w:bCs/>
                <w:color w:val="000000"/>
                <w:kern w:val="0"/>
                <w:sz w:val="28"/>
                <w:szCs w:val="28"/>
              </w:rPr>
              <w:t>》赔付比例</w:t>
            </w:r>
          </w:p>
        </w:tc>
      </w:tr>
      <w:tr>
        <w:tblPrEx>
          <w:tblCellMar>
            <w:top w:w="0" w:type="dxa"/>
            <w:left w:w="108" w:type="dxa"/>
            <w:bottom w:w="0" w:type="dxa"/>
            <w:right w:w="108" w:type="dxa"/>
          </w:tblCellMar>
        </w:tblPrEx>
        <w:trPr>
          <w:trHeight w:val="586" w:hRule="atLeast"/>
        </w:trPr>
        <w:tc>
          <w:tcPr>
            <w:tcW w:w="1181"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疾病身故保险金</w:t>
            </w:r>
          </w:p>
        </w:tc>
        <w:tc>
          <w:tcPr>
            <w:tcW w:w="1392" w:type="pct"/>
            <w:tcBorders>
              <w:top w:val="nil"/>
              <w:left w:val="nil"/>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10000元</w:t>
            </w:r>
          </w:p>
        </w:tc>
        <w:tc>
          <w:tcPr>
            <w:tcW w:w="2426" w:type="pct"/>
            <w:tcBorders>
              <w:top w:val="nil"/>
              <w:left w:val="nil"/>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详见责任描述</w:t>
            </w:r>
          </w:p>
        </w:tc>
      </w:tr>
      <w:tr>
        <w:tblPrEx>
          <w:tblCellMar>
            <w:top w:w="0" w:type="dxa"/>
            <w:left w:w="108" w:type="dxa"/>
            <w:bottom w:w="0" w:type="dxa"/>
            <w:right w:w="108" w:type="dxa"/>
          </w:tblCellMar>
        </w:tblPrEx>
        <w:trPr>
          <w:trHeight w:val="1006" w:hRule="atLeast"/>
        </w:trPr>
        <w:tc>
          <w:tcPr>
            <w:tcW w:w="1181" w:type="pct"/>
            <w:tcBorders>
              <w:top w:val="nil"/>
              <w:left w:val="single" w:color="auto" w:sz="8" w:space="0"/>
              <w:bottom w:val="nil"/>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意外医疗保险金</w:t>
            </w:r>
          </w:p>
        </w:tc>
        <w:tc>
          <w:tcPr>
            <w:tcW w:w="1392" w:type="pct"/>
            <w:tcBorders>
              <w:top w:val="nil"/>
              <w:left w:val="nil"/>
              <w:bottom w:val="nil"/>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300元</w:t>
            </w:r>
          </w:p>
        </w:tc>
        <w:tc>
          <w:tcPr>
            <w:tcW w:w="2426" w:type="pct"/>
            <w:tcBorders>
              <w:top w:val="nil"/>
              <w:left w:val="nil"/>
              <w:bottom w:val="nil"/>
              <w:right w:val="single" w:color="auto" w:sz="8"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仅保障意外门诊责任，</w:t>
            </w:r>
            <w:r>
              <w:rPr>
                <w:rFonts w:hint="eastAsia" w:ascii="仿宋" w:hAnsi="仿宋" w:eastAsia="仿宋" w:cs="仿宋"/>
                <w:b w:val="0"/>
                <w:bCs/>
                <w:color w:val="000000"/>
                <w:sz w:val="28"/>
                <w:szCs w:val="28"/>
              </w:rPr>
              <w:t>基本医疗保险起付线以下合理医疗费用100%赔付。</w:t>
            </w:r>
          </w:p>
        </w:tc>
      </w:tr>
      <w:tr>
        <w:tblPrEx>
          <w:tblCellMar>
            <w:top w:w="0" w:type="dxa"/>
            <w:left w:w="108" w:type="dxa"/>
            <w:bottom w:w="0" w:type="dxa"/>
            <w:right w:w="108" w:type="dxa"/>
          </w:tblCellMar>
        </w:tblPrEx>
        <w:trPr>
          <w:trHeight w:val="788" w:hRule="atLeast"/>
        </w:trPr>
        <w:tc>
          <w:tcPr>
            <w:tcW w:w="1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疾病门诊保险金</w:t>
            </w:r>
          </w:p>
        </w:tc>
        <w:tc>
          <w:tcPr>
            <w:tcW w:w="139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300</w:t>
            </w:r>
            <w:r>
              <w:rPr>
                <w:rFonts w:hint="eastAsia" w:ascii="仿宋" w:hAnsi="仿宋" w:eastAsia="仿宋" w:cs="仿宋"/>
                <w:b w:val="0"/>
                <w:bCs/>
                <w:color w:val="000000"/>
                <w:kern w:val="0"/>
                <w:sz w:val="28"/>
                <w:szCs w:val="28"/>
              </w:rPr>
              <w:t>元</w:t>
            </w:r>
          </w:p>
        </w:tc>
        <w:tc>
          <w:tcPr>
            <w:tcW w:w="2426" w:type="pct"/>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sz w:val="28"/>
                <w:szCs w:val="28"/>
                <w:lang w:val="en-US" w:eastAsia="zh-CN"/>
              </w:rPr>
              <w:t>普通门诊符合当地社会医疗保险规定的合理医疗费用，年度扣减923.08元免赔后，</w:t>
            </w:r>
            <w:r>
              <w:rPr>
                <w:rFonts w:hint="eastAsia" w:ascii="仿宋" w:hAnsi="仿宋" w:eastAsia="仿宋" w:cs="仿宋"/>
                <w:b w:val="0"/>
                <w:bCs/>
                <w:color w:val="000000"/>
                <w:sz w:val="28"/>
                <w:szCs w:val="28"/>
              </w:rPr>
              <w:t>按照60%</w:t>
            </w:r>
            <w:r>
              <w:rPr>
                <w:rFonts w:hint="eastAsia" w:ascii="仿宋" w:hAnsi="仿宋" w:eastAsia="仿宋" w:cs="仿宋"/>
                <w:b w:val="0"/>
                <w:bCs/>
                <w:color w:val="000000"/>
                <w:sz w:val="28"/>
                <w:szCs w:val="28"/>
                <w:lang w:val="en-US" w:eastAsia="zh-CN"/>
              </w:rPr>
              <w:t>比例</w:t>
            </w:r>
            <w:r>
              <w:rPr>
                <w:rFonts w:hint="eastAsia" w:ascii="仿宋" w:hAnsi="仿宋" w:eastAsia="仿宋" w:cs="仿宋"/>
                <w:b w:val="0"/>
                <w:bCs/>
                <w:color w:val="000000"/>
                <w:sz w:val="28"/>
                <w:szCs w:val="28"/>
              </w:rPr>
              <w:t>赔付。</w:t>
            </w:r>
          </w:p>
        </w:tc>
      </w:tr>
      <w:tr>
        <w:tblPrEx>
          <w:tblCellMar>
            <w:top w:w="0" w:type="dxa"/>
            <w:left w:w="108" w:type="dxa"/>
            <w:bottom w:w="0" w:type="dxa"/>
            <w:right w:w="108" w:type="dxa"/>
          </w:tblCellMar>
        </w:tblPrEx>
        <w:trPr>
          <w:trHeight w:val="1114" w:hRule="atLeast"/>
        </w:trPr>
        <w:tc>
          <w:tcPr>
            <w:tcW w:w="1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高血压、糖尿病门诊保险金</w:t>
            </w:r>
          </w:p>
        </w:tc>
        <w:tc>
          <w:tcPr>
            <w:tcW w:w="139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300元</w:t>
            </w:r>
          </w:p>
        </w:tc>
        <w:tc>
          <w:tcPr>
            <w:tcW w:w="2426" w:type="pct"/>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罹患不符合门诊</w:t>
            </w:r>
            <w:r>
              <w:rPr>
                <w:rFonts w:hint="eastAsia" w:ascii="仿宋" w:hAnsi="仿宋" w:eastAsia="仿宋" w:cs="仿宋"/>
                <w:b w:val="0"/>
                <w:bCs/>
                <w:color w:val="000000"/>
                <w:kern w:val="0"/>
                <w:sz w:val="28"/>
                <w:szCs w:val="28"/>
              </w:rPr>
              <w:t>慢性病标准的高血压、糖尿病，在定点医疗机构门诊就诊，经基本医疗保险中两病保险报销后，剩余的两病用药费用按照100%比例赔付。</w:t>
            </w:r>
          </w:p>
        </w:tc>
      </w:tr>
      <w:tr>
        <w:tblPrEx>
          <w:tblCellMar>
            <w:top w:w="0" w:type="dxa"/>
            <w:left w:w="108" w:type="dxa"/>
            <w:bottom w:w="0" w:type="dxa"/>
            <w:right w:w="108" w:type="dxa"/>
          </w:tblCellMar>
        </w:tblPrEx>
        <w:trPr>
          <w:trHeight w:val="1737" w:hRule="atLeast"/>
        </w:trPr>
        <w:tc>
          <w:tcPr>
            <w:tcW w:w="1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住院、门诊慢性病医疗保险金</w:t>
            </w:r>
          </w:p>
        </w:tc>
        <w:tc>
          <w:tcPr>
            <w:tcW w:w="139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300000元</w:t>
            </w:r>
          </w:p>
        </w:tc>
        <w:tc>
          <w:tcPr>
            <w:tcW w:w="2426" w:type="pct"/>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 w:hAnsi="仿宋" w:eastAsia="仿宋" w:cs="仿宋"/>
                <w:b w:val="0"/>
                <w:bCs/>
                <w:color w:val="000000" w:themeColor="text1"/>
                <w:kern w:val="0"/>
                <w:sz w:val="28"/>
                <w:szCs w:val="28"/>
                <w:lang w:val="en-US" w:eastAsia="zh-CN"/>
                <w14:textFill>
                  <w14:solidFill>
                    <w14:schemeClr w14:val="tx1"/>
                  </w14:solidFill>
                </w14:textFill>
              </w:rPr>
            </w:pPr>
            <w:bookmarkStart w:id="0" w:name="OLE_LINK2"/>
            <w:r>
              <w:rPr>
                <w:rFonts w:hint="eastAsia" w:ascii="仿宋" w:hAnsi="仿宋" w:eastAsia="仿宋" w:cs="仿宋"/>
                <w:b w:val="0"/>
                <w:bCs/>
                <w:color w:val="000000" w:themeColor="text1"/>
                <w:kern w:val="0"/>
                <w:sz w:val="28"/>
                <w:szCs w:val="28"/>
                <w14:textFill>
                  <w14:solidFill>
                    <w14:schemeClr w14:val="tx1"/>
                  </w14:solidFill>
                </w14:textFill>
              </w:rPr>
              <w:t>被保险人因意外或疾病经诊断必须住院治疗（包含居民基本医疗保险规定的门规病种）的，经居民基本医疗保险报销后个人负担的合规医疗费用，乙方按照约定比例给付保险金，</w:t>
            </w:r>
            <w:bookmarkStart w:id="1" w:name="OLE_LINK1"/>
            <w:r>
              <w:rPr>
                <w:rFonts w:hint="eastAsia" w:ascii="仿宋" w:hAnsi="仿宋" w:eastAsia="仿宋" w:cs="仿宋"/>
                <w:b w:val="0"/>
                <w:bCs/>
                <w:color w:val="000000" w:themeColor="text1"/>
                <w:kern w:val="0"/>
                <w:sz w:val="28"/>
                <w:szCs w:val="28"/>
                <w14:textFill>
                  <w14:solidFill>
                    <w14:schemeClr w14:val="tx1"/>
                  </w14:solidFill>
                </w14:textFill>
              </w:rPr>
              <w:t>每保险年度最高赔付300000元。</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认可费用为社保报销后剩余的合理医疗费用。</w:t>
            </w:r>
            <w:bookmarkEnd w:id="0"/>
            <w:bookmarkEnd w:id="1"/>
          </w:p>
        </w:tc>
      </w:tr>
      <w:tr>
        <w:tblPrEx>
          <w:tblCellMar>
            <w:top w:w="0" w:type="dxa"/>
            <w:left w:w="108" w:type="dxa"/>
            <w:bottom w:w="0" w:type="dxa"/>
            <w:right w:w="108" w:type="dxa"/>
          </w:tblCellMar>
        </w:tblPrEx>
        <w:trPr>
          <w:trHeight w:val="1021" w:hRule="atLeast"/>
        </w:trPr>
        <w:tc>
          <w:tcPr>
            <w:tcW w:w="118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女性生育住院保险金</w:t>
            </w:r>
          </w:p>
        </w:tc>
        <w:tc>
          <w:tcPr>
            <w:tcW w:w="1392" w:type="pct"/>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kern w:val="0"/>
                <w:sz w:val="28"/>
                <w:szCs w:val="28"/>
              </w:rPr>
            </w:pPr>
            <w:r>
              <w:rPr>
                <w:rFonts w:hint="eastAsia" w:ascii="仿宋" w:hAnsi="仿宋" w:eastAsia="仿宋" w:cs="仿宋"/>
                <w:b w:val="0"/>
                <w:bCs/>
                <w:kern w:val="0"/>
                <w:sz w:val="28"/>
                <w:szCs w:val="28"/>
              </w:rPr>
              <w:t>流产350元，引产1350元，住院分娩3000元，达不到定额标准的据实报销。</w:t>
            </w:r>
          </w:p>
        </w:tc>
        <w:tc>
          <w:tcPr>
            <w:tcW w:w="2426" w:type="pct"/>
            <w:tcBorders>
              <w:top w:val="nil"/>
              <w:left w:val="nil"/>
              <w:bottom w:val="single" w:color="auto" w:sz="4" w:space="0"/>
              <w:right w:val="single" w:color="auto" w:sz="4" w:space="0"/>
            </w:tcBorders>
            <w:shd w:val="clear" w:color="000000" w:fill="FFFFFF"/>
            <w:vAlign w:val="center"/>
          </w:tcPr>
          <w:p>
            <w:pPr>
              <w:widowControl/>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经基本医疗保险报销后个人负担的合规医疗费用，乙方按照100%比例赔付</w:t>
            </w:r>
          </w:p>
        </w:tc>
      </w:tr>
      <w:tr>
        <w:tblPrEx>
          <w:tblCellMar>
            <w:top w:w="0" w:type="dxa"/>
            <w:left w:w="108" w:type="dxa"/>
            <w:bottom w:w="0" w:type="dxa"/>
            <w:right w:w="108" w:type="dxa"/>
          </w:tblCellMar>
        </w:tblPrEx>
        <w:trPr>
          <w:trHeight w:val="696" w:hRule="atLeast"/>
        </w:trPr>
        <w:tc>
          <w:tcPr>
            <w:tcW w:w="1181" w:type="pct"/>
            <w:vMerge w:val="restart"/>
            <w:tcBorders>
              <w:left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交通意外保险金</w:t>
            </w:r>
          </w:p>
        </w:tc>
        <w:tc>
          <w:tcPr>
            <w:tcW w:w="1392" w:type="pct"/>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航空意外伤害保险</w:t>
            </w:r>
          </w:p>
        </w:tc>
        <w:tc>
          <w:tcPr>
            <w:tcW w:w="2426" w:type="pct"/>
            <w:tcBorders>
              <w:top w:val="nil"/>
              <w:left w:val="nil"/>
              <w:bottom w:val="single" w:color="auto" w:sz="4" w:space="0"/>
              <w:right w:val="single" w:color="auto" w:sz="4" w:space="0"/>
            </w:tcBorders>
            <w:shd w:val="clear" w:color="000000" w:fill="FFFFFF"/>
            <w:vAlign w:val="center"/>
          </w:tcPr>
          <w:p>
            <w:pPr>
              <w:widowControl/>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30万/人</w:t>
            </w:r>
          </w:p>
        </w:tc>
      </w:tr>
      <w:tr>
        <w:tblPrEx>
          <w:tblCellMar>
            <w:top w:w="0" w:type="dxa"/>
            <w:left w:w="108" w:type="dxa"/>
            <w:bottom w:w="0" w:type="dxa"/>
            <w:right w:w="108" w:type="dxa"/>
          </w:tblCellMar>
        </w:tblPrEx>
        <w:trPr>
          <w:trHeight w:val="696" w:hRule="atLeast"/>
        </w:trPr>
        <w:tc>
          <w:tcPr>
            <w:tcW w:w="1181" w:type="pct"/>
            <w:vMerge w:val="continue"/>
            <w:tcBorders>
              <w:left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p>
        </w:tc>
        <w:tc>
          <w:tcPr>
            <w:tcW w:w="1392" w:type="pct"/>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火车、轮船意外伤害保险</w:t>
            </w:r>
          </w:p>
        </w:tc>
        <w:tc>
          <w:tcPr>
            <w:tcW w:w="2426" w:type="pct"/>
            <w:tcBorders>
              <w:top w:val="nil"/>
              <w:left w:val="nil"/>
              <w:bottom w:val="single" w:color="auto" w:sz="4" w:space="0"/>
              <w:right w:val="single" w:color="auto" w:sz="4" w:space="0"/>
            </w:tcBorders>
            <w:shd w:val="clear" w:color="000000" w:fill="FFFFFF"/>
            <w:vAlign w:val="center"/>
          </w:tcPr>
          <w:p>
            <w:pPr>
              <w:widowControl/>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15万/人</w:t>
            </w:r>
          </w:p>
        </w:tc>
      </w:tr>
      <w:tr>
        <w:tblPrEx>
          <w:tblCellMar>
            <w:top w:w="0" w:type="dxa"/>
            <w:left w:w="108" w:type="dxa"/>
            <w:bottom w:w="0" w:type="dxa"/>
            <w:right w:w="108" w:type="dxa"/>
          </w:tblCellMar>
        </w:tblPrEx>
        <w:trPr>
          <w:trHeight w:val="564" w:hRule="atLeast"/>
        </w:trPr>
        <w:tc>
          <w:tcPr>
            <w:tcW w:w="1181" w:type="pct"/>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p>
        </w:tc>
        <w:tc>
          <w:tcPr>
            <w:tcW w:w="1392" w:type="pct"/>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营运汽车</w:t>
            </w:r>
          </w:p>
        </w:tc>
        <w:tc>
          <w:tcPr>
            <w:tcW w:w="2426" w:type="pct"/>
            <w:tcBorders>
              <w:top w:val="nil"/>
              <w:left w:val="nil"/>
              <w:bottom w:val="single" w:color="auto" w:sz="4" w:space="0"/>
              <w:right w:val="single" w:color="auto" w:sz="4" w:space="0"/>
            </w:tcBorders>
            <w:shd w:val="clear" w:color="000000" w:fill="FFFFFF"/>
            <w:vAlign w:val="center"/>
          </w:tcPr>
          <w:p>
            <w:pPr>
              <w:widowControl/>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5万/人</w:t>
            </w:r>
          </w:p>
        </w:tc>
      </w:tr>
    </w:tbl>
    <w:p>
      <w:pPr>
        <w:spacing w:line="360" w:lineRule="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lang w:val="en-US" w:eastAsia="zh-CN"/>
        </w:rPr>
        <w:t>1.</w:t>
      </w:r>
      <w:r>
        <w:rPr>
          <w:rFonts w:hint="eastAsia" w:ascii="仿宋" w:hAnsi="仿宋" w:eastAsia="仿宋" w:cs="仿宋"/>
          <w:b/>
          <w:bCs w:val="0"/>
          <w:color w:val="000000"/>
          <w:sz w:val="32"/>
          <w:szCs w:val="32"/>
        </w:rPr>
        <w:t>责任描述：</w:t>
      </w:r>
      <w:bookmarkStart w:id="5" w:name="_GoBack"/>
      <w:bookmarkEnd w:id="5"/>
    </w:p>
    <w:p>
      <w:pPr>
        <w:spacing w:line="360" w:lineRule="auto"/>
        <w:ind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（1）意外身故或意外伤残保险金</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被保险人因遭受本合同约定的意外事故，并自事故发生之日起180日内（含第180日）因该事故身故的，我们按约定的意外身故保险金额给付意外身故保险金30000元，对该被保险人的保险责任终止。被保险人因遭受本合同约定的意外事故，并自事故发生之日起180日内（含第180日）因该事故造成 《人身保险伤残评定标准及代码》（JR/T 0083—2013）（国务院保险监督管理机构发布，保监发〔2014〕6 号） 所列伤残项目的，我们依照该标准规定的评定原则对伤残项目进行评定，并按评定结果所对应该标准规定的给付比例乘以意外伤残保险金额给付意外伤残保险金。如治疗仍未结束的，按事故发生之日起第180日的身体情况进行伤残鉴定，并据此给付意外伤残保险金。 被保险人该次因遭受意外事故导致的伤残合并前次伤残可领较严重项目意外伤残保险金的，按较严重项目标准给付，但前次已给付的意外伤残保险金（投保前已有或因责任免除事项所致《人身保险伤残评定标准及代码》</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JR/T 0083—2013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所列伤残的，视为已给付意外伤残保险金）应予以扣除。被保险人的意外伤残保险金的累计给付金额以该被保险人的意外伤残保险金额为限，累计给付金额达到其意外伤残保险金额时，对该被保险人的该项保险责任终止。</w:t>
      </w:r>
    </w:p>
    <w:p>
      <w:pPr>
        <w:spacing w:line="360" w:lineRule="auto"/>
        <w:ind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（2）疾病身故保险金</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被保险人因疾病身故，乙方给付疾病身故保险金10000元。</w:t>
      </w:r>
    </w:p>
    <w:p>
      <w:pPr>
        <w:spacing w:line="360" w:lineRule="auto"/>
        <w:ind w:firstLine="560" w:firstLineChars="20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w:t>
      </w:r>
      <w:bookmarkStart w:id="2" w:name="OLE_LINK5"/>
      <w:r>
        <w:rPr>
          <w:rFonts w:hint="eastAsia" w:ascii="仿宋" w:hAnsi="仿宋" w:eastAsia="仿宋" w:cs="仿宋"/>
          <w:b w:val="0"/>
          <w:bCs/>
          <w:color w:val="000000" w:themeColor="text1"/>
          <w:sz w:val="28"/>
          <w:szCs w:val="28"/>
          <w14:textFill>
            <w14:solidFill>
              <w14:schemeClr w14:val="tx1"/>
            </w14:solidFill>
          </w14:textFill>
        </w:rPr>
        <w:t>意外伤害医疗保险金</w:t>
      </w:r>
      <w:r>
        <w:rPr>
          <w:rFonts w:hint="eastAsia" w:ascii="仿宋" w:hAnsi="仿宋" w:eastAsia="仿宋" w:cs="仿宋"/>
          <w:b w:val="0"/>
          <w:bCs/>
          <w:color w:val="000000" w:themeColor="text1"/>
          <w:sz w:val="28"/>
          <w:szCs w:val="28"/>
          <w:lang w:eastAsia="zh-CN"/>
          <w14:textFill>
            <w14:solidFill>
              <w14:schemeClr w14:val="tx1"/>
            </w14:solidFill>
          </w14:textFill>
        </w:rPr>
        <w:t>：</w:t>
      </w:r>
      <w:bookmarkStart w:id="3" w:name="OLE_LINK3"/>
      <w:r>
        <w:rPr>
          <w:rFonts w:hint="eastAsia" w:ascii="仿宋" w:hAnsi="仿宋" w:eastAsia="仿宋" w:cs="仿宋"/>
          <w:b w:val="0"/>
          <w:bCs/>
          <w:color w:val="000000" w:themeColor="text1"/>
          <w:sz w:val="28"/>
          <w:szCs w:val="28"/>
          <w14:textFill>
            <w14:solidFill>
              <w14:schemeClr w14:val="tx1"/>
            </w14:solidFill>
          </w14:textFill>
        </w:rPr>
        <w:t>被保险人因遭受意外事故并在医院门诊进行治疗，其事故发生之日起180日内实际支出的符合居民基本医疗保险规定起付线以下的个人负担的合规医疗费用按照100%比例赔付，被保险人累计给付金额达到300元时，该保险责任终止。</w:t>
      </w:r>
    </w:p>
    <w:bookmarkEnd w:id="2"/>
    <w:bookmarkEnd w:id="3"/>
    <w:p>
      <w:pPr>
        <w:spacing w:line="360" w:lineRule="auto"/>
        <w:ind w:firstLine="560" w:firstLineChars="20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（4）疾病门诊保险金</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 xml:space="preserve"> 被保险人因疾病在医院门诊进行治疗，</w:t>
      </w:r>
      <w:r>
        <w:rPr>
          <w:rFonts w:hint="eastAsia" w:ascii="仿宋" w:hAnsi="仿宋" w:eastAsia="仿宋" w:cs="仿宋"/>
          <w:b w:val="0"/>
          <w:bCs/>
          <w:color w:val="000000"/>
          <w:sz w:val="28"/>
          <w:szCs w:val="28"/>
          <w:lang w:val="en-US" w:eastAsia="zh-CN"/>
        </w:rPr>
        <w:t>普通门诊符合当地社会医疗保险规定的合理医疗费用，年度扣减923.08元免赔后，</w:t>
      </w:r>
      <w:r>
        <w:rPr>
          <w:rFonts w:hint="eastAsia" w:ascii="仿宋" w:hAnsi="仿宋" w:eastAsia="仿宋" w:cs="仿宋"/>
          <w:b w:val="0"/>
          <w:bCs/>
          <w:color w:val="000000"/>
          <w:sz w:val="28"/>
          <w:szCs w:val="28"/>
        </w:rPr>
        <w:t>按照60%</w:t>
      </w:r>
      <w:r>
        <w:rPr>
          <w:rFonts w:hint="eastAsia" w:ascii="仿宋" w:hAnsi="仿宋" w:eastAsia="仿宋" w:cs="仿宋"/>
          <w:b w:val="0"/>
          <w:bCs/>
          <w:color w:val="000000"/>
          <w:sz w:val="28"/>
          <w:szCs w:val="28"/>
          <w:lang w:val="en-US" w:eastAsia="zh-CN"/>
        </w:rPr>
        <w:t>比例</w:t>
      </w:r>
      <w:r>
        <w:rPr>
          <w:rFonts w:hint="eastAsia" w:ascii="仿宋" w:hAnsi="仿宋" w:eastAsia="仿宋" w:cs="仿宋"/>
          <w:b w:val="0"/>
          <w:bCs/>
          <w:color w:val="000000"/>
          <w:sz w:val="28"/>
          <w:szCs w:val="28"/>
        </w:rPr>
        <w:t>赔付</w:t>
      </w:r>
      <w:r>
        <w:rPr>
          <w:rFonts w:hint="eastAsia" w:ascii="仿宋" w:hAnsi="仿宋" w:eastAsia="仿宋" w:cs="仿宋"/>
          <w:b w:val="0"/>
          <w:bCs/>
          <w:color w:val="000000" w:themeColor="text1"/>
          <w:sz w:val="28"/>
          <w:szCs w:val="28"/>
          <w14:textFill>
            <w14:solidFill>
              <w14:schemeClr w14:val="tx1"/>
            </w14:solidFill>
          </w14:textFill>
        </w:rPr>
        <w:t>。（根据2022年济南市居民医保政策，普通门诊统筹基金报销比例为65%，年度支付限额600元，推算普通门诊统筹基金封顶线为600/65%=923.08元。居民医保的封顶线医疗费用的计算时间为每年的1月1日至12月31日</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w:t>
      </w:r>
    </w:p>
    <w:p>
      <w:pPr>
        <w:spacing w:line="360" w:lineRule="auto"/>
        <w:ind w:firstLine="560" w:firstLineChars="20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保险公司赔付金额为：【总合理医疗费用（不扣医保报销金额）-923.08】*60%</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最高报销300元。</w:t>
      </w:r>
    </w:p>
    <w:p>
      <w:pPr>
        <w:spacing w:line="360" w:lineRule="auto"/>
        <w:ind w:firstLine="560" w:firstLineChars="20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（5）</w:t>
      </w:r>
      <w:r>
        <w:rPr>
          <w:rFonts w:hint="eastAsia" w:ascii="仿宋" w:hAnsi="仿宋" w:eastAsia="仿宋" w:cs="仿宋"/>
          <w:b w:val="0"/>
          <w:bCs/>
          <w:color w:val="000000"/>
          <w:kern w:val="0"/>
          <w:sz w:val="28"/>
          <w:szCs w:val="28"/>
        </w:rPr>
        <w:t>高血压、糖尿病门诊保险金：</w:t>
      </w:r>
      <w:r>
        <w:rPr>
          <w:rFonts w:hint="eastAsia" w:ascii="仿宋" w:hAnsi="仿宋" w:eastAsia="仿宋" w:cs="仿宋"/>
          <w:b w:val="0"/>
          <w:bCs/>
          <w:color w:val="000000"/>
          <w:sz w:val="28"/>
          <w:szCs w:val="28"/>
        </w:rPr>
        <w:t>被保险人因罹患不符合门诊</w:t>
      </w:r>
      <w:r>
        <w:rPr>
          <w:rFonts w:hint="eastAsia" w:ascii="仿宋" w:hAnsi="仿宋" w:eastAsia="仿宋" w:cs="仿宋"/>
          <w:b w:val="0"/>
          <w:bCs/>
          <w:color w:val="000000"/>
          <w:kern w:val="0"/>
          <w:sz w:val="28"/>
          <w:szCs w:val="28"/>
        </w:rPr>
        <w:t>慢性病标准的高血压、糖尿病，在定点医疗机构门诊就诊产生的治疗高血压、糖尿病的药品费用，经基本医疗保险中两病保险报销后，剩余的两病用药费用按照100%比例赔付。</w:t>
      </w:r>
      <w:r>
        <w:rPr>
          <w:rFonts w:hint="eastAsia" w:ascii="仿宋" w:hAnsi="仿宋" w:eastAsia="仿宋" w:cs="仿宋"/>
          <w:b w:val="0"/>
          <w:bCs/>
          <w:color w:val="000000" w:themeColor="text1"/>
          <w:sz w:val="28"/>
          <w:szCs w:val="28"/>
          <w14:textFill>
            <w14:solidFill>
              <w14:schemeClr w14:val="tx1"/>
            </w14:solidFill>
          </w14:textFill>
        </w:rPr>
        <w:t>每保险年度最高赔付300元。</w:t>
      </w:r>
    </w:p>
    <w:p>
      <w:pPr>
        <w:spacing w:line="360" w:lineRule="auto"/>
        <w:ind w:firstLine="560" w:firstLineChars="20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（6）</w:t>
      </w:r>
      <w:bookmarkStart w:id="4" w:name="OLE_LINK4"/>
      <w:r>
        <w:rPr>
          <w:rFonts w:hint="eastAsia" w:ascii="仿宋" w:hAnsi="仿宋" w:eastAsia="仿宋" w:cs="仿宋"/>
          <w:b w:val="0"/>
          <w:bCs/>
          <w:color w:val="000000" w:themeColor="text1"/>
          <w:sz w:val="28"/>
          <w:szCs w:val="28"/>
          <w14:textFill>
            <w14:solidFill>
              <w14:schemeClr w14:val="tx1"/>
            </w14:solidFill>
          </w14:textFill>
        </w:rPr>
        <w:t>住院、</w:t>
      </w:r>
      <w:r>
        <w:rPr>
          <w:rFonts w:hint="eastAsia" w:ascii="仿宋" w:hAnsi="仿宋" w:eastAsia="仿宋" w:cs="仿宋"/>
          <w:b w:val="0"/>
          <w:bCs/>
          <w:color w:val="000000"/>
          <w:kern w:val="0"/>
          <w:sz w:val="28"/>
          <w:szCs w:val="28"/>
        </w:rPr>
        <w:t>门诊慢性病</w:t>
      </w:r>
      <w:r>
        <w:rPr>
          <w:rFonts w:hint="eastAsia" w:ascii="仿宋" w:hAnsi="仿宋" w:eastAsia="仿宋" w:cs="仿宋"/>
          <w:b w:val="0"/>
          <w:bCs/>
          <w:color w:val="000000" w:themeColor="text1"/>
          <w:sz w:val="28"/>
          <w:szCs w:val="28"/>
          <w14:textFill>
            <w14:solidFill>
              <w14:schemeClr w14:val="tx1"/>
            </w14:solidFill>
          </w14:textFill>
        </w:rPr>
        <w:t>医疗保险金</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被保险人因意外或疾病经诊断必须住院治疗（包含纳入统筹基金支付范围的门诊慢性病费用）的，经居民基本医疗保险报销后个人负担的合规医疗费用，乙方按照以下比例给付保险金，每保险年度最高赔付300000元。</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认可费用为</w:t>
      </w:r>
      <w:r>
        <w:rPr>
          <w:rFonts w:hint="eastAsia" w:ascii="仿宋" w:hAnsi="仿宋" w:eastAsia="仿宋" w:cs="仿宋"/>
          <w:b w:val="0"/>
          <w:bCs/>
          <w:color w:val="auto"/>
          <w:kern w:val="0"/>
          <w:sz w:val="28"/>
          <w:szCs w:val="28"/>
          <w:lang w:val="en-US" w:eastAsia="zh-CN"/>
        </w:rPr>
        <w:t>医保报销</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后剩余的合理医疗费用。</w:t>
      </w:r>
    </w:p>
    <w:p>
      <w:pPr>
        <w:spacing w:line="360" w:lineRule="auto"/>
        <w:ind w:firstLine="560" w:firstLineChars="20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住院医疗赔付比例：</w:t>
      </w:r>
    </w:p>
    <w:p>
      <w:pPr>
        <w:spacing w:line="360" w:lineRule="auto"/>
        <w:ind w:firstLine="560" w:firstLineChars="200"/>
        <w:rPr>
          <w:rFonts w:hint="eastAsia" w:ascii="仿宋" w:hAnsi="仿宋" w:eastAsia="仿宋" w:cs="仿宋"/>
          <w:b w:val="0"/>
          <w:bCs/>
          <w:color w:val="000000" w:themeColor="text1"/>
          <w:sz w:val="28"/>
          <w:szCs w:val="28"/>
          <w:lang w:val="zh-CN"/>
          <w14:textFill>
            <w14:solidFill>
              <w14:schemeClr w14:val="tx1"/>
            </w14:solidFill>
          </w14:textFill>
        </w:rPr>
      </w:pPr>
      <w:r>
        <w:rPr>
          <w:rFonts w:hint="eastAsia" w:ascii="仿宋" w:hAnsi="仿宋" w:eastAsia="仿宋" w:cs="仿宋"/>
          <w:b w:val="0"/>
          <w:bCs/>
          <w:color w:val="000000" w:themeColor="text1"/>
          <w:sz w:val="28"/>
          <w:szCs w:val="28"/>
          <w:lang w:val="zh-CN"/>
          <w14:textFill>
            <w14:solidFill>
              <w14:schemeClr w14:val="tx1"/>
            </w14:solidFill>
          </w14:textFill>
        </w:rPr>
        <w:t>1.4万元以下的部分：一级医院95%、二级医院85%、三级医院75%赔付；1.4万元（含1.4万）至10万的部分：一级医院95%、二级医院85%、三级医院75%赔付；10万元（含10万）至20万的部分：一级医院97%、二级医院90%、三级医院80%赔付；20万元（含20万）以上的部分：一级医院100%、二级医院95%、三级医院85%赔付。</w:t>
      </w:r>
    </w:p>
    <w:bookmarkEnd w:id="4"/>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color w:val="000000" w:themeColor="text1"/>
          <w:sz w:val="28"/>
          <w:szCs w:val="28"/>
          <w14:textFill>
            <w14:solidFill>
              <w14:schemeClr w14:val="tx1"/>
            </w14:solidFill>
          </w14:textFill>
        </w:rPr>
        <w:t>（7）</w:t>
      </w:r>
      <w:r>
        <w:rPr>
          <w:rFonts w:hint="eastAsia" w:ascii="仿宋" w:hAnsi="仿宋" w:eastAsia="仿宋" w:cs="仿宋"/>
          <w:b w:val="0"/>
          <w:bCs/>
          <w:color w:val="000000" w:themeColor="text1"/>
          <w:sz w:val="28"/>
          <w:szCs w:val="28"/>
          <w:lang w:val="zh-CN"/>
          <w14:textFill>
            <w14:solidFill>
              <w14:schemeClr w14:val="tx1"/>
            </w14:solidFill>
          </w14:textFill>
        </w:rPr>
        <w:t>女性生育住院医疗保险金：</w:t>
      </w:r>
      <w:r>
        <w:rPr>
          <w:rFonts w:hint="eastAsia" w:ascii="仿宋" w:hAnsi="仿宋" w:eastAsia="仿宋" w:cs="仿宋"/>
          <w:b w:val="0"/>
          <w:bCs/>
          <w:color w:val="000000" w:themeColor="text1"/>
          <w:sz w:val="28"/>
          <w:szCs w:val="28"/>
          <w14:textFill>
            <w14:solidFill>
              <w14:schemeClr w14:val="tx1"/>
            </w14:solidFill>
          </w14:textFill>
        </w:rPr>
        <w:t>符合计划生育政策</w:t>
      </w:r>
      <w:r>
        <w:rPr>
          <w:rFonts w:hint="eastAsia" w:ascii="仿宋" w:hAnsi="仿宋" w:eastAsia="仿宋" w:cs="仿宋"/>
          <w:b w:val="0"/>
          <w:bCs/>
          <w:color w:val="000000" w:themeColor="text1"/>
          <w:sz w:val="28"/>
          <w:szCs w:val="28"/>
          <w:lang w:eastAsia="zh-CN"/>
          <w14:textFill>
            <w14:solidFill>
              <w14:schemeClr w14:val="tx1"/>
            </w14:solidFill>
          </w14:textFill>
        </w:rPr>
        <w:t>且</w:t>
      </w:r>
      <w:r>
        <w:rPr>
          <w:rFonts w:hint="eastAsia" w:ascii="仿宋" w:hAnsi="仿宋" w:eastAsia="仿宋" w:cs="仿宋"/>
          <w:b w:val="0"/>
          <w:bCs/>
          <w:color w:val="000000" w:themeColor="text1"/>
          <w:sz w:val="28"/>
          <w:szCs w:val="28"/>
          <w14:textFill>
            <w14:solidFill>
              <w14:schemeClr w14:val="tx1"/>
            </w14:solidFill>
          </w14:textFill>
        </w:rPr>
        <w:t>已按规定连续正常缴费参加居民医疗保险1年以上</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以医疗年度计算</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、在济南市生育保险定点医疗机构生育（但急救、抢救及其他特殊情况除外）的被保险人，因住院分娩发生的，</w:t>
      </w:r>
      <w:r>
        <w:rPr>
          <w:rFonts w:hint="eastAsia" w:ascii="仿宋" w:hAnsi="仿宋" w:eastAsia="仿宋" w:cs="仿宋"/>
          <w:b w:val="0"/>
          <w:bCs/>
          <w:color w:val="000000" w:themeColor="text1"/>
          <w:sz w:val="28"/>
          <w:szCs w:val="28"/>
          <w:lang w:val="zh-CN"/>
          <w14:textFill>
            <w14:solidFill>
              <w14:schemeClr w14:val="tx1"/>
            </w14:solidFill>
          </w14:textFill>
        </w:rPr>
        <w:t>经基本医疗保险报销后个人负担的合规医疗费用，</w:t>
      </w:r>
      <w:r>
        <w:rPr>
          <w:rFonts w:hint="eastAsia" w:ascii="仿宋" w:hAnsi="仿宋" w:eastAsia="仿宋" w:cs="仿宋"/>
          <w:b w:val="0"/>
          <w:bCs/>
          <w:color w:val="000000" w:themeColor="text1"/>
          <w:sz w:val="28"/>
          <w:szCs w:val="28"/>
          <w14:textFill>
            <w14:solidFill>
              <w14:schemeClr w14:val="tx1"/>
            </w14:solidFill>
          </w14:textFill>
        </w:rPr>
        <w:t>乙方按照100%比例赔付，年度最高赔付金额如下：</w:t>
      </w:r>
      <w:r>
        <w:rPr>
          <w:rFonts w:hint="eastAsia" w:ascii="仿宋" w:hAnsi="仿宋" w:eastAsia="仿宋" w:cs="仿宋"/>
          <w:b w:val="0"/>
          <w:bCs/>
          <w:sz w:val="28"/>
          <w:szCs w:val="28"/>
        </w:rPr>
        <w:t>流产350元，引产1350元，住院分娩3000元，达不到定额标准的据实报销。</w:t>
      </w:r>
    </w:p>
    <w:p>
      <w:pPr>
        <w:ind w:firstLine="643" w:firstLineChars="200"/>
        <w:rPr>
          <w:rFonts w:hint="eastAsia" w:ascii="仿宋" w:hAnsi="仿宋" w:eastAsia="仿宋" w:cs="仿宋"/>
          <w:b/>
          <w:bCs w:val="0"/>
          <w:sz w:val="32"/>
          <w:szCs w:val="32"/>
          <w:lang w:val="zh-CN"/>
        </w:rPr>
      </w:pPr>
      <w:r>
        <w:rPr>
          <w:rFonts w:hint="eastAsia" w:ascii="仿宋" w:hAnsi="仿宋" w:eastAsia="仿宋" w:cs="仿宋"/>
          <w:b/>
          <w:bCs w:val="0"/>
          <w:sz w:val="32"/>
          <w:szCs w:val="32"/>
          <w:lang w:val="en-US" w:eastAsia="zh-CN"/>
        </w:rPr>
        <w:t>2.平安保险公司</w:t>
      </w:r>
      <w:r>
        <w:rPr>
          <w:rFonts w:hint="eastAsia" w:ascii="仿宋" w:hAnsi="仿宋" w:eastAsia="仿宋" w:cs="仿宋"/>
          <w:b/>
          <w:bCs w:val="0"/>
          <w:sz w:val="32"/>
          <w:szCs w:val="32"/>
          <w:lang w:val="zh-CN"/>
        </w:rPr>
        <w:t>服务电话：</w:t>
      </w:r>
    </w:p>
    <w:p>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山东省</w:t>
      </w:r>
      <w:r>
        <w:rPr>
          <w:rFonts w:hint="eastAsia" w:ascii="仿宋" w:hAnsi="仿宋" w:eastAsia="仿宋" w:cs="仿宋"/>
          <w:b w:val="0"/>
          <w:bCs/>
          <w:sz w:val="28"/>
          <w:szCs w:val="28"/>
        </w:rPr>
        <w:t>分公司咨询电话：0531-80966953，80966533</w:t>
      </w:r>
    </w:p>
    <w:p>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山东省</w:t>
      </w:r>
      <w:r>
        <w:rPr>
          <w:rFonts w:hint="eastAsia" w:ascii="仿宋" w:hAnsi="仿宋" w:eastAsia="仿宋" w:cs="仿宋"/>
          <w:b w:val="0"/>
          <w:bCs/>
          <w:sz w:val="28"/>
          <w:szCs w:val="28"/>
        </w:rPr>
        <w:t>分公司报案电话：0531-80966293</w:t>
      </w:r>
    </w:p>
    <w:p>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全国24小时统一服务电话：95511（咨询、报案等）</w:t>
      </w:r>
    </w:p>
    <w:p>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网站服务：</w:t>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"http://www.pingan.com.cn（咨询、报案、查询等）" </w:instrText>
      </w:r>
      <w:r>
        <w:rPr>
          <w:rFonts w:hint="eastAsia" w:ascii="仿宋" w:hAnsi="仿宋" w:eastAsia="仿宋" w:cs="仿宋"/>
          <w:b w:val="0"/>
          <w:bCs/>
          <w:sz w:val="28"/>
          <w:szCs w:val="28"/>
        </w:rPr>
        <w:fldChar w:fldCharType="separate"/>
      </w:r>
      <w:r>
        <w:rPr>
          <w:rStyle w:val="6"/>
          <w:rFonts w:hint="eastAsia" w:ascii="仿宋" w:hAnsi="仿宋" w:eastAsia="仿宋" w:cs="仿宋"/>
          <w:b w:val="0"/>
          <w:bCs/>
          <w:sz w:val="28"/>
          <w:szCs w:val="28"/>
        </w:rPr>
        <w:t>www.pingan.com.cn（咨询、报案、查询等）</w:t>
      </w:r>
      <w:r>
        <w:rPr>
          <w:rFonts w:hint="eastAsia" w:ascii="仿宋" w:hAnsi="仿宋" w:eastAsia="仿宋" w:cs="仿宋"/>
          <w:b w:val="0"/>
          <w:bC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40" w:lineRule="atLeas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643" w:firstLineChars="200"/>
        <w:textAlignment w:val="auto"/>
        <w:rPr>
          <w:rFonts w:hint="default" w:ascii="仿宋" w:hAnsi="仿宋" w:eastAsia="仿宋" w:cs="仿宋"/>
          <w:b w:val="0"/>
          <w:bCs/>
          <w:sz w:val="28"/>
          <w:szCs w:val="28"/>
          <w:lang w:val="en-US" w:eastAsia="zh-CN"/>
        </w:rPr>
      </w:pPr>
      <w:r>
        <w:rPr>
          <w:rFonts w:hint="eastAsia" w:ascii="仿宋_GB2312" w:hAnsi="仿宋_GB2312" w:eastAsia="仿宋_GB2312" w:cs="仿宋_GB2312"/>
          <w:b/>
          <w:bCs/>
          <w:sz w:val="32"/>
          <w:szCs w:val="32"/>
          <w:lang w:val="en-US" w:eastAsia="zh-CN"/>
        </w:rPr>
        <w:t>3.商业补充医疗保险报销流程具体详见：山东大学校医院网站－医保专区－学生医保专栏。</w:t>
      </w:r>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ZmIwNDdkNjg2ZDgxMGYwZDMyZmM4NjFiYzlhNTIifQ=="/>
  </w:docVars>
  <w:rsids>
    <w:rsidRoot w:val="006B6FB0"/>
    <w:rsid w:val="006B6FB0"/>
    <w:rsid w:val="009D73F4"/>
    <w:rsid w:val="00B6091E"/>
    <w:rsid w:val="00CF298C"/>
    <w:rsid w:val="00E97F64"/>
    <w:rsid w:val="00F64BD1"/>
    <w:rsid w:val="12F6457C"/>
    <w:rsid w:val="14C96882"/>
    <w:rsid w:val="207C4499"/>
    <w:rsid w:val="2F51279A"/>
    <w:rsid w:val="3ABE3E8B"/>
    <w:rsid w:val="4D1C636C"/>
    <w:rsid w:val="6699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字符"/>
    <w:basedOn w:val="5"/>
    <w:link w:val="3"/>
    <w:autoRedefine/>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93</Words>
  <Characters>536</Characters>
  <Lines>4</Lines>
  <Paragraphs>1</Paragraphs>
  <TotalTime>9</TotalTime>
  <ScaleCrop>false</ScaleCrop>
  <LinksUpToDate>false</LinksUpToDate>
  <CharactersWithSpaces>628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2022-10-05T02:49:00Z</dcterms:created>
  <dc:creator>dell</dc:creator>
  <cp:lastModifiedBy>仇岩</cp:lastModifiedBy>
  <dcterms:modified xsi:type="dcterms:W3CDTF">2024-10-24T08:13:49Z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A0CB553F9FD847559F5AE86AFBCE6052_12</vt:lpwstr>
  </property>
</Properties>
</file>